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3D03" w14:textId="77777777" w:rsidR="005D7950" w:rsidRDefault="005D7950">
      <w:pPr>
        <w:jc w:val="both"/>
        <w:rPr>
          <w:b/>
          <w:u w:val="single"/>
        </w:rPr>
      </w:pPr>
    </w:p>
    <w:p w14:paraId="21384BE1" w14:textId="77777777" w:rsidR="005D7950" w:rsidRDefault="005D7950">
      <w:pPr>
        <w:jc w:val="both"/>
        <w:rPr>
          <w:b/>
          <w:u w:val="single"/>
        </w:rPr>
      </w:pPr>
    </w:p>
    <w:p w14:paraId="1BD4025A" w14:textId="02736D64" w:rsidR="00225D33" w:rsidRDefault="00000000">
      <w:pPr>
        <w:jc w:val="both"/>
        <w:rPr>
          <w:b/>
          <w:u w:val="single"/>
        </w:rPr>
      </w:pPr>
      <w:r>
        <w:rPr>
          <w:b/>
          <w:u w:val="single"/>
        </w:rPr>
        <w:t>LANGUAGE FOR SALARY AND FRINGE BENEFIT</w:t>
      </w:r>
    </w:p>
    <w:p w14:paraId="2F6AF7F6" w14:textId="77777777" w:rsidR="00225D33" w:rsidRDefault="00225D33">
      <w:pPr>
        <w:jc w:val="both"/>
        <w:rPr>
          <w:b/>
        </w:rPr>
      </w:pPr>
    </w:p>
    <w:p w14:paraId="35B753DC" w14:textId="65A953F4" w:rsidR="00225D33" w:rsidRDefault="00000000">
      <w:pPr>
        <w:jc w:val="both"/>
      </w:pPr>
      <w:r>
        <w:rPr>
          <w:b/>
        </w:rPr>
        <w:t>Fringe Benefits Statement:</w:t>
      </w:r>
      <w:r>
        <w:t xml:space="preserve"> UCLA employer-based fringe benefits include costs such as retirement, FICA and Medicare taxes, medical, dental, and vision </w:t>
      </w:r>
      <w:r w:rsidR="00067184">
        <w:t>expense</w:t>
      </w:r>
      <w:r>
        <w:t xml:space="preserve">s, and are assessed as a percentage of employee salary using Composite Benefit Rates (CBR).  A CBR is the average cost of benefits for an employee group, where groups are defined by attributes such as benefit eligibility, employee class, exempt and non-exempt status, and job code.  Fringe benefits are assessed as a percentage of the respective employee’s salary.  The CBR rates applied herein have been proposed </w:t>
      </w:r>
      <w:r w:rsidR="00066EF1">
        <w:t>to</w:t>
      </w:r>
      <w:r>
        <w:t xml:space="preserve"> DHHS for FY26</w:t>
      </w:r>
      <w:r w:rsidR="00FB7D36">
        <w:t>-27</w:t>
      </w:r>
      <w:r>
        <w:t>.</w:t>
      </w:r>
    </w:p>
    <w:p w14:paraId="5519014D" w14:textId="77777777" w:rsidR="00225D33" w:rsidRDefault="00000000">
      <w:pPr>
        <w:jc w:val="both"/>
      </w:pPr>
      <w:r>
        <w:t xml:space="preserve"> </w:t>
      </w:r>
    </w:p>
    <w:p w14:paraId="3B53D3C5" w14:textId="40E49717" w:rsidR="00225D33" w:rsidRDefault="00000000">
      <w:pPr>
        <w:jc w:val="both"/>
      </w:pPr>
      <w:r>
        <w:rPr>
          <w:b/>
        </w:rPr>
        <w:t>Salary Statement:</w:t>
      </w:r>
      <w:r>
        <w:t xml:space="preserve"> Pursuant to University of California (UC) policy, salaries in the initial budget period are based on current published UC salary scales and include University-mandated merit increases and range adjustments scheduled to occur before the proposed project start date, except for those individuals with salaries exceeding the NIH salary cap at the time of project start date. The current NIH salary cap of $22</w:t>
      </w:r>
      <w:r w:rsidR="00342C04">
        <w:t>8</w:t>
      </w:r>
      <w:r>
        <w:t>,</w:t>
      </w:r>
      <w:r w:rsidR="00342C04">
        <w:t>0</w:t>
      </w:r>
      <w:r>
        <w:t xml:space="preserve">00 is used for all years for [Dr. X].  Should the NIH salary cap increase over the course of this grant, we request appropriate additional funding. </w:t>
      </w:r>
    </w:p>
    <w:p w14:paraId="19EFFC84" w14:textId="6FF29199" w:rsidR="00225D33" w:rsidRDefault="00000000">
      <w:pPr>
        <w:spacing w:before="240" w:after="240"/>
        <w:jc w:val="both"/>
        <w:rPr>
          <w:color w:val="1155CC"/>
        </w:rPr>
      </w:pPr>
      <w:r>
        <w:rPr>
          <w:b/>
          <w:color w:val="1155CC"/>
        </w:rPr>
        <w:t xml:space="preserve">Hourly Rate: </w:t>
      </w:r>
      <w:r>
        <w:rPr>
          <w:color w:val="1155CC"/>
        </w:rPr>
        <w:t xml:space="preserve">The following disclaimer should be included in proposal documents or budget justifications </w:t>
      </w:r>
      <w:r>
        <w:rPr>
          <w:b/>
          <w:color w:val="1155CC"/>
        </w:rPr>
        <w:t>when a sponsor requests hourly rate information</w:t>
      </w:r>
      <w:r>
        <w:rPr>
          <w:color w:val="1155CC"/>
        </w:rPr>
        <w:t xml:space="preserve"> for personnel effort. It clarifies that the University of California, including UCLA, does </w:t>
      </w:r>
      <w:r>
        <w:rPr>
          <w:b/>
          <w:color w:val="1155CC"/>
        </w:rPr>
        <w:t>not calculate or report salary based on hours worked</w:t>
      </w:r>
      <w:r>
        <w:rPr>
          <w:color w:val="1155CC"/>
        </w:rPr>
        <w:t xml:space="preserve">, but </w:t>
      </w:r>
      <w:r w:rsidR="00E16CAD">
        <w:rPr>
          <w:color w:val="1155CC"/>
        </w:rPr>
        <w:t>instead</w:t>
      </w:r>
      <w:r>
        <w:rPr>
          <w:color w:val="1155CC"/>
        </w:rPr>
        <w:t xml:space="preserve"> on </w:t>
      </w:r>
      <w:r>
        <w:rPr>
          <w:b/>
          <w:color w:val="1155CC"/>
        </w:rPr>
        <w:t>percent effort</w:t>
      </w:r>
      <w:r>
        <w:rPr>
          <w:color w:val="1155CC"/>
        </w:rPr>
        <w:t xml:space="preserve"> in accordance with federal regulations. The purpose is to ensure sponsors understand that any hourly rate or labor hour figures provided are </w:t>
      </w:r>
      <w:r>
        <w:rPr>
          <w:b/>
          <w:color w:val="1155CC"/>
        </w:rPr>
        <w:t>for estimation purposes only</w:t>
      </w:r>
      <w:r>
        <w:rPr>
          <w:color w:val="1155CC"/>
        </w:rPr>
        <w:t xml:space="preserve"> and do not reflect the University’s actual compensation or billing practices.</w:t>
      </w:r>
    </w:p>
    <w:p w14:paraId="26B72687" w14:textId="77777777" w:rsidR="00225D33" w:rsidRDefault="00000000">
      <w:pPr>
        <w:spacing w:before="240" w:after="240"/>
        <w:jc w:val="both"/>
        <w:rPr>
          <w:i/>
        </w:rPr>
      </w:pPr>
      <w:r>
        <w:rPr>
          <w:i/>
        </w:rPr>
        <w:t xml:space="preserve">“The individuals listed in this proposal hold Full-Time Effort (FTE) positions. Their appointments on externally sponsored projects reflect a percentage of that full-time effort. The University of California compensates employees based on percent effort, not hourly labor. Budget figures based on hours or hourly rates are for estimation only and do not align with </w:t>
      </w:r>
      <w:proofErr w:type="gramStart"/>
      <w:r>
        <w:rPr>
          <w:i/>
        </w:rPr>
        <w:t>University</w:t>
      </w:r>
      <w:proofErr w:type="gramEnd"/>
      <w:r>
        <w:rPr>
          <w:i/>
        </w:rPr>
        <w:t xml:space="preserve"> practices. Accordingly, the University bills and reports effort based on percent effort, consistent with OMB Circular A-21, Section J.10.c, and 2 CFR 200.</w:t>
      </w:r>
    </w:p>
    <w:p w14:paraId="5B4DC2F6" w14:textId="7420B732" w:rsidR="00225D33" w:rsidRDefault="00000000">
      <w:pPr>
        <w:spacing w:before="240" w:after="240"/>
        <w:jc w:val="both"/>
        <w:rPr>
          <w:i/>
        </w:rPr>
      </w:pPr>
      <w:r>
        <w:rPr>
          <w:i/>
        </w:rPr>
        <w:t>UCLA follows the Uniform Administrative Requirements, Cost Principles, and Audit Requirements for Federal Awards, which state that institutions of higher education are not required to track or report faculty salar</w:t>
      </w:r>
      <w:r w:rsidR="00E16CAD">
        <w:rPr>
          <w:i/>
        </w:rPr>
        <w:t>ies</w:t>
      </w:r>
      <w:r>
        <w:rPr>
          <w:i/>
        </w:rPr>
        <w:t xml:space="preserve"> based on hours worked (2 CFR §200.430). Therefore, UCLA records salary expenses solely on a percent effort basis.”</w:t>
      </w:r>
    </w:p>
    <w:p w14:paraId="513D40DE" w14:textId="77777777" w:rsidR="00225D33" w:rsidRDefault="00225D33">
      <w:pPr>
        <w:jc w:val="both"/>
      </w:pPr>
    </w:p>
    <w:p w14:paraId="35EE54E6" w14:textId="77777777" w:rsidR="00225D33" w:rsidRDefault="00225D33">
      <w:pPr>
        <w:jc w:val="both"/>
        <w:rPr>
          <w:b/>
          <w:u w:val="single"/>
        </w:rPr>
      </w:pPr>
    </w:p>
    <w:p w14:paraId="133BC3A4" w14:textId="77777777" w:rsidR="00225D33" w:rsidRDefault="00225D33">
      <w:pPr>
        <w:jc w:val="both"/>
        <w:rPr>
          <w:b/>
          <w:u w:val="single"/>
        </w:rPr>
      </w:pPr>
    </w:p>
    <w:p w14:paraId="76CD1403" w14:textId="77777777" w:rsidR="00225D33" w:rsidRDefault="00225D33">
      <w:pPr>
        <w:jc w:val="both"/>
        <w:rPr>
          <w:b/>
          <w:u w:val="single"/>
        </w:rPr>
      </w:pPr>
    </w:p>
    <w:p w14:paraId="4570BEAF" w14:textId="77777777" w:rsidR="00225D33" w:rsidRDefault="00225D33">
      <w:pPr>
        <w:jc w:val="both"/>
        <w:rPr>
          <w:b/>
          <w:u w:val="single"/>
        </w:rPr>
      </w:pPr>
    </w:p>
    <w:p w14:paraId="4ACF7C96" w14:textId="77777777" w:rsidR="00C4781A" w:rsidRDefault="00C4781A">
      <w:pPr>
        <w:jc w:val="both"/>
        <w:rPr>
          <w:b/>
          <w:u w:val="single"/>
        </w:rPr>
      </w:pPr>
    </w:p>
    <w:p w14:paraId="11500A81" w14:textId="77777777" w:rsidR="00225D33" w:rsidRDefault="00000000">
      <w:pPr>
        <w:jc w:val="both"/>
        <w:rPr>
          <w:b/>
          <w:u w:val="single"/>
        </w:rPr>
      </w:pPr>
      <w:r>
        <w:rPr>
          <w:b/>
          <w:u w:val="single"/>
        </w:rPr>
        <w:t>LANGUAGE FOR INDIRECT COSTS JUSTIFICATION</w:t>
      </w:r>
    </w:p>
    <w:p w14:paraId="46AFC2EA" w14:textId="77777777" w:rsidR="00225D33" w:rsidRDefault="00225D33">
      <w:pPr>
        <w:jc w:val="both"/>
        <w:rPr>
          <w:b/>
          <w:u w:val="single"/>
        </w:rPr>
      </w:pPr>
    </w:p>
    <w:p w14:paraId="5FD572DB" w14:textId="77777777" w:rsidR="00225D33" w:rsidRDefault="00000000">
      <w:pPr>
        <w:jc w:val="both"/>
        <w:rPr>
          <w:i/>
        </w:rPr>
      </w:pPr>
      <w:r>
        <w:rPr>
          <w:i/>
        </w:rPr>
        <w:t xml:space="preserve">A justification for the indirect cost rate applied must be included for most budget justification documents. Please note the indirect cost rate “type” (MTDC, TDC, </w:t>
      </w:r>
      <w:proofErr w:type="spellStart"/>
      <w:r>
        <w:rPr>
          <w:i/>
        </w:rPr>
        <w:t>etc</w:t>
      </w:r>
      <w:proofErr w:type="spellEnd"/>
      <w:r>
        <w:rPr>
          <w:i/>
        </w:rPr>
        <w:t xml:space="preserve">) and the applicable research type (on-campus, off-campus, instructional) used to assess IDC. Here is a link to the UCLA IDC designation and agreement:  </w:t>
      </w:r>
      <w:hyperlink r:id="rId7">
        <w:r w:rsidR="00225D33">
          <w:rPr>
            <w:i/>
            <w:color w:val="1155CC"/>
            <w:u w:val="single"/>
          </w:rPr>
          <w:t>Facilities and Administrative Costs (F&amp;A)</w:t>
        </w:r>
      </w:hyperlink>
      <w:r>
        <w:rPr>
          <w:i/>
        </w:rPr>
        <w:t xml:space="preserve"> </w:t>
      </w:r>
    </w:p>
    <w:p w14:paraId="1AA43253" w14:textId="77777777" w:rsidR="00225D33" w:rsidRDefault="00225D33">
      <w:pPr>
        <w:jc w:val="both"/>
        <w:rPr>
          <w:b/>
        </w:rPr>
      </w:pPr>
    </w:p>
    <w:p w14:paraId="282B49CF" w14:textId="35A6E0CC" w:rsidR="00225D33" w:rsidRDefault="00000000">
      <w:pPr>
        <w:jc w:val="both"/>
        <w:rPr>
          <w:b/>
        </w:rPr>
      </w:pPr>
      <w:r>
        <w:rPr>
          <w:b/>
          <w:i/>
        </w:rPr>
        <w:t>Per NIH Policy</w:t>
      </w:r>
      <w:r>
        <w:rPr>
          <w:i/>
        </w:rPr>
        <w:t xml:space="preserve"> - All direct salaries and wages, applicable fringe benefits, materials and supplies, services, travel, and subawards up to the first $25,000 of each subaward (regardless of the period of performance of the subawards under the award). MTDC excludes equipment, capital expenditures, charges for patient care, rental costs, tuition remission, scholarships and fellowships, participant support costs</w:t>
      </w:r>
      <w:r w:rsidR="00067184">
        <w:rPr>
          <w:i/>
        </w:rPr>
        <w:t>,</w:t>
      </w:r>
      <w:r>
        <w:rPr>
          <w:i/>
        </w:rPr>
        <w:t xml:space="preserve"> and the portion of each subaward </w:t>
      </w:r>
      <w:proofErr w:type="gramStart"/>
      <w:r>
        <w:rPr>
          <w:i/>
        </w:rPr>
        <w:t>in excess of</w:t>
      </w:r>
      <w:proofErr w:type="gramEnd"/>
      <w:r>
        <w:rPr>
          <w:i/>
        </w:rPr>
        <w:t xml:space="preserve"> $25,000. Other items may only be excluded when necessary to avoid a serious inequity in the distribution of </w:t>
      </w:r>
      <w:hyperlink r:id="rId8">
        <w:r w:rsidR="00225D33">
          <w:rPr>
            <w:b/>
            <w:i/>
          </w:rPr>
          <w:t>indirect costs</w:t>
        </w:r>
      </w:hyperlink>
      <w:r>
        <w:rPr>
          <w:i/>
        </w:rPr>
        <w:t xml:space="preserve">, and with the approval of the cognizant agency for </w:t>
      </w:r>
      <w:hyperlink r:id="rId9">
        <w:r w:rsidR="00225D33">
          <w:rPr>
            <w:b/>
            <w:i/>
          </w:rPr>
          <w:t>indirect costs</w:t>
        </w:r>
      </w:hyperlink>
      <w:r>
        <w:rPr>
          <w:i/>
        </w:rPr>
        <w:t>.</w:t>
      </w:r>
    </w:p>
    <w:p w14:paraId="1FBB51C2" w14:textId="77777777" w:rsidR="00225D33" w:rsidRDefault="00225D33">
      <w:pPr>
        <w:jc w:val="both"/>
        <w:rPr>
          <w:u w:val="single"/>
        </w:rPr>
      </w:pPr>
    </w:p>
    <w:p w14:paraId="703C44DC" w14:textId="77777777" w:rsidR="00225D33" w:rsidRDefault="00000000">
      <w:pPr>
        <w:jc w:val="both"/>
      </w:pPr>
      <w:r>
        <w:rPr>
          <w:u w:val="single"/>
        </w:rPr>
        <w:t>If not applicable</w:t>
      </w:r>
      <w:r>
        <w:t>, state: “No indirect cost was applied per sponsor’s policy/guidelines.”</w:t>
      </w:r>
    </w:p>
    <w:p w14:paraId="532A8D67" w14:textId="77777777" w:rsidR="00225D33" w:rsidRDefault="00000000">
      <w:pPr>
        <w:jc w:val="both"/>
      </w:pPr>
      <w:r>
        <w:t xml:space="preserve"> </w:t>
      </w:r>
    </w:p>
    <w:p w14:paraId="227F8E66" w14:textId="5B9BA4D9" w:rsidR="00225D33" w:rsidRDefault="00000000">
      <w:pPr>
        <w:jc w:val="both"/>
        <w:rPr>
          <w:i/>
        </w:rPr>
      </w:pPr>
      <w:r>
        <w:rPr>
          <w:u w:val="single"/>
        </w:rPr>
        <w:t>If applicable</w:t>
      </w:r>
      <w:r>
        <w:rPr>
          <w:b/>
        </w:rPr>
        <w:t xml:space="preserve">: </w:t>
      </w:r>
      <w:r>
        <w:t>state the “type” of IDC and the app</w:t>
      </w:r>
      <w:r w:rsidR="00067184">
        <w:t>ropriat</w:t>
      </w:r>
      <w:r>
        <w:t xml:space="preserve">e “rate” used. </w:t>
      </w:r>
      <w:r>
        <w:rPr>
          <w:i/>
          <w:color w:val="0070C0"/>
        </w:rPr>
        <w:t>The example below is the standard language for the UCLA federally negotiated MTDC rate for “On-Campus” research</w:t>
      </w:r>
      <w:r>
        <w:rPr>
          <w:color w:val="0070C0"/>
        </w:rPr>
        <w:t>.</w:t>
      </w:r>
    </w:p>
    <w:p w14:paraId="12869AB3" w14:textId="77777777" w:rsidR="00225D33" w:rsidRDefault="00225D33">
      <w:pPr>
        <w:jc w:val="both"/>
      </w:pPr>
    </w:p>
    <w:p w14:paraId="50E98EFB" w14:textId="77777777" w:rsidR="00225D33" w:rsidRDefault="00000000">
      <w:pPr>
        <w:jc w:val="both"/>
        <w:rPr>
          <w:b/>
        </w:rPr>
      </w:pPr>
      <w:r>
        <w:rPr>
          <w:b/>
        </w:rPr>
        <w:t>Modified Total Direct IDC Justification</w:t>
      </w:r>
    </w:p>
    <w:p w14:paraId="2B1F17BD" w14:textId="6EF9DA06" w:rsidR="00225D33" w:rsidRDefault="00000000">
      <w:pPr>
        <w:jc w:val="both"/>
      </w:pPr>
      <w:r>
        <w:t>The [</w:t>
      </w:r>
      <w:proofErr w:type="gramStart"/>
      <w:r>
        <w:t>on-campus</w:t>
      </w:r>
      <w:proofErr w:type="gramEnd"/>
      <w:r>
        <w:t xml:space="preserve">] research indirect cost rate of [57.5%] of [modified total direct costs (MTDC)] has been applied in accordance with UCLA’s current Facilities &amp; Administrative (F&amp;A) rate agreement as negotiated with the Department of Health and Human Services dated </w:t>
      </w:r>
      <w:r w:rsidRPr="0058423B">
        <w:t>April 2</w:t>
      </w:r>
      <w:r w:rsidR="00F94B2D" w:rsidRPr="0058423B">
        <w:t>4</w:t>
      </w:r>
      <w:r w:rsidRPr="0058423B">
        <w:t>, 202</w:t>
      </w:r>
      <w:r w:rsidR="00F94B2D" w:rsidRPr="0058423B">
        <w:t>6</w:t>
      </w:r>
      <w:r w:rsidRPr="0058423B">
        <w:t>.</w:t>
      </w:r>
      <w:r>
        <w:t xml:space="preserve"> </w:t>
      </w:r>
    </w:p>
    <w:p w14:paraId="62DE7E5B" w14:textId="77777777" w:rsidR="00225D33" w:rsidRDefault="00000000">
      <w:pPr>
        <w:jc w:val="both"/>
      </w:pPr>
      <w:r>
        <w:t xml:space="preserve">These negotiated rates are established </w:t>
      </w:r>
      <w:r w:rsidRPr="00531BB6">
        <w:t>through June 30, 2025</w:t>
      </w:r>
      <w:r>
        <w:rPr>
          <w:color w:val="0563C1"/>
        </w:rPr>
        <w:t>,</w:t>
      </w:r>
      <w:r>
        <w:t xml:space="preserve"> and are</w:t>
      </w:r>
      <w:r>
        <w:rPr>
          <w:i/>
        </w:rPr>
        <w:t xml:space="preserve"> provisional</w:t>
      </w:r>
      <w:r>
        <w:t xml:space="preserve"> as of </w:t>
      </w:r>
      <w:r w:rsidRPr="00531BB6">
        <w:t>July 1, 2025,</w:t>
      </w:r>
      <w:r>
        <w:t xml:space="preserve"> and beyond.  Awards using provisional rates must be adjusted once a new F&amp;A rate agreement is negotiated and approved by the cognizant agency for indirect costs.</w:t>
      </w:r>
    </w:p>
    <w:p w14:paraId="0CA25AF4" w14:textId="77777777" w:rsidR="00225D33" w:rsidRDefault="00225D33">
      <w:pPr>
        <w:jc w:val="both"/>
        <w:rPr>
          <w:i/>
        </w:rPr>
      </w:pPr>
    </w:p>
    <w:p w14:paraId="4B87F9B6" w14:textId="77777777" w:rsidR="00225D33" w:rsidRDefault="00000000">
      <w:pPr>
        <w:jc w:val="both"/>
        <w:rPr>
          <w:i/>
        </w:rPr>
      </w:pPr>
      <w:r>
        <w:rPr>
          <w:i/>
        </w:rPr>
        <w:t>If applicable, include a description of related exclusions.</w:t>
      </w:r>
    </w:p>
    <w:p w14:paraId="3A83A85D" w14:textId="77777777" w:rsidR="00225D33" w:rsidRDefault="00000000">
      <w:pPr>
        <w:jc w:val="both"/>
        <w:rPr>
          <w:b/>
        </w:rPr>
      </w:pPr>
      <w:r>
        <w:rPr>
          <w:b/>
        </w:rPr>
        <w:t xml:space="preserve"> </w:t>
      </w:r>
    </w:p>
    <w:p w14:paraId="67DECB2E" w14:textId="77777777" w:rsidR="00225D33" w:rsidRDefault="00000000">
      <w:pPr>
        <w:jc w:val="both"/>
        <w:rPr>
          <w:b/>
          <w:color w:val="C00000"/>
        </w:rPr>
      </w:pPr>
      <w:r>
        <w:rPr>
          <w:b/>
          <w:color w:val="C00000"/>
        </w:rPr>
        <w:t>No exclusions</w:t>
      </w:r>
    </w:p>
    <w:p w14:paraId="692583EB" w14:textId="77777777" w:rsidR="00225D33" w:rsidRDefault="00000000">
      <w:pPr>
        <w:jc w:val="both"/>
      </w:pPr>
      <w:r>
        <w:rPr>
          <w:b/>
        </w:rPr>
        <w:t>For MTDC (Modified Total Direct), with no exemptions, state if:</w:t>
      </w:r>
      <w:r>
        <w:t xml:space="preserve"> “No budget items were excluded from the overhead assessment.”</w:t>
      </w:r>
    </w:p>
    <w:p w14:paraId="5F42B0E6" w14:textId="77777777" w:rsidR="00225D33" w:rsidRDefault="00225D33">
      <w:pPr>
        <w:jc w:val="both"/>
      </w:pPr>
    </w:p>
    <w:p w14:paraId="69100B42" w14:textId="77777777" w:rsidR="00C4781A" w:rsidRDefault="00C4781A">
      <w:pPr>
        <w:jc w:val="both"/>
        <w:rPr>
          <w:b/>
          <w:color w:val="C00000"/>
        </w:rPr>
      </w:pPr>
    </w:p>
    <w:p w14:paraId="6219B736" w14:textId="77777777" w:rsidR="00C4781A" w:rsidRDefault="00C4781A">
      <w:pPr>
        <w:jc w:val="both"/>
        <w:rPr>
          <w:b/>
          <w:color w:val="C00000"/>
        </w:rPr>
      </w:pPr>
    </w:p>
    <w:p w14:paraId="19ABCC17" w14:textId="77777777" w:rsidR="00C4781A" w:rsidRDefault="00C4781A">
      <w:pPr>
        <w:jc w:val="both"/>
        <w:rPr>
          <w:b/>
          <w:color w:val="C00000"/>
        </w:rPr>
      </w:pPr>
    </w:p>
    <w:p w14:paraId="0A8831B4" w14:textId="77777777" w:rsidR="00C4781A" w:rsidRDefault="00C4781A">
      <w:pPr>
        <w:jc w:val="both"/>
        <w:rPr>
          <w:b/>
          <w:color w:val="C00000"/>
        </w:rPr>
      </w:pPr>
    </w:p>
    <w:p w14:paraId="699E7E69" w14:textId="77777777" w:rsidR="00C4781A" w:rsidRDefault="00C4781A">
      <w:pPr>
        <w:jc w:val="both"/>
        <w:rPr>
          <w:b/>
          <w:color w:val="C00000"/>
        </w:rPr>
      </w:pPr>
    </w:p>
    <w:p w14:paraId="27C9ACCC" w14:textId="77777777" w:rsidR="00C4781A" w:rsidRDefault="00C4781A">
      <w:pPr>
        <w:jc w:val="both"/>
        <w:rPr>
          <w:b/>
          <w:color w:val="C00000"/>
        </w:rPr>
      </w:pPr>
    </w:p>
    <w:p w14:paraId="268294B4" w14:textId="77777777" w:rsidR="00C4781A" w:rsidRDefault="00C4781A">
      <w:pPr>
        <w:jc w:val="both"/>
        <w:rPr>
          <w:b/>
          <w:color w:val="C00000"/>
        </w:rPr>
      </w:pPr>
    </w:p>
    <w:p w14:paraId="1C89624A" w14:textId="006464FB" w:rsidR="00225D33" w:rsidRDefault="00000000">
      <w:pPr>
        <w:jc w:val="both"/>
        <w:rPr>
          <w:i/>
        </w:rPr>
      </w:pPr>
      <w:r>
        <w:rPr>
          <w:b/>
          <w:color w:val="C00000"/>
        </w:rPr>
        <w:t xml:space="preserve">With Exclusions </w:t>
      </w:r>
      <w:r>
        <w:rPr>
          <w:i/>
        </w:rPr>
        <w:t>(Same text as above, followed by a list of exclusions)</w:t>
      </w:r>
    </w:p>
    <w:p w14:paraId="5D8C7896" w14:textId="77777777" w:rsidR="00225D33" w:rsidRDefault="00000000">
      <w:pPr>
        <w:jc w:val="both"/>
        <w:rPr>
          <w:b/>
          <w:color w:val="C00000"/>
        </w:rPr>
      </w:pPr>
      <w:r>
        <w:rPr>
          <w:b/>
          <w:color w:val="C00000"/>
        </w:rPr>
        <w:t xml:space="preserve"> </w:t>
      </w:r>
    </w:p>
    <w:p w14:paraId="70FB0C2C" w14:textId="7BA21F88" w:rsidR="00225D33" w:rsidRDefault="00000000">
      <w:pPr>
        <w:jc w:val="both"/>
      </w:pPr>
      <w:r>
        <w:t xml:space="preserve">The indirect cost base is calculated </w:t>
      </w:r>
      <w:r w:rsidR="00067184">
        <w:t>based</w:t>
      </w:r>
      <w:r>
        <w:t xml:space="preserve"> o</w:t>
      </w:r>
      <w:r w:rsidR="00067184">
        <w:t>n</w:t>
      </w:r>
      <w:r>
        <w:t xml:space="preserve"> modified total direct costs (MTDC), consisting of all salaries and wages, fringe benefits, materials, supplies, services, travel, and subgrants</w:t>
      </w:r>
      <w:r w:rsidR="00067184">
        <w:t>.</w:t>
      </w:r>
      <w:r>
        <w:t xml:space="preserve"> </w:t>
      </w:r>
      <w:r w:rsidR="00067184">
        <w:t>It</w:t>
      </w:r>
      <w:r>
        <w:t xml:space="preserve"> subcontracts up to the first $25,000 of each subgrant or subcontract (regardless of the period covered by the subgrant or subcontract). Modified total direct costs shall exclude equipment, capital expenditures, charges for patient care, student tuition remission, rental costs of off-site facilities, scholarships, fellowships, participant support costs, and the portion of each subgrant and subcontract </w:t>
      </w:r>
      <w:proofErr w:type="gramStart"/>
      <w:r>
        <w:t>in excess of</w:t>
      </w:r>
      <w:proofErr w:type="gramEnd"/>
      <w:r>
        <w:t xml:space="preserve"> $25,000.</w:t>
      </w:r>
    </w:p>
    <w:p w14:paraId="6A0EF396" w14:textId="77777777" w:rsidR="00225D33" w:rsidRDefault="00000000">
      <w:pPr>
        <w:jc w:val="both"/>
        <w:rPr>
          <w:color w:val="00B0F0"/>
        </w:rPr>
      </w:pPr>
      <w:r>
        <w:rPr>
          <w:color w:val="00B0F0"/>
        </w:rPr>
        <w:t xml:space="preserve"> </w:t>
      </w:r>
    </w:p>
    <w:p w14:paraId="5AA3A838" w14:textId="77777777" w:rsidR="00225D33" w:rsidRDefault="00000000">
      <w:pPr>
        <w:ind w:right="380"/>
        <w:jc w:val="both"/>
        <w:rPr>
          <w:b/>
        </w:rPr>
      </w:pPr>
      <w:r>
        <w:rPr>
          <w:b/>
        </w:rPr>
        <w:t>The following costs were excluded from the UCLA IDC base calculation:</w:t>
      </w:r>
    </w:p>
    <w:p w14:paraId="5379474E" w14:textId="77777777" w:rsidR="00225D33" w:rsidRDefault="00000000">
      <w:pPr>
        <w:jc w:val="both"/>
        <w:rPr>
          <w:i/>
          <w:color w:val="0070C0"/>
        </w:rPr>
      </w:pPr>
      <w:r>
        <w:rPr>
          <w:color w:val="0070C0"/>
        </w:rPr>
        <w:t xml:space="preserve">Here is an example illustrating the </w:t>
      </w:r>
      <w:r>
        <w:rPr>
          <w:i/>
          <w:color w:val="0070C0"/>
        </w:rPr>
        <w:t>exclusion of equipment costs in relevant years in relation to GSR fee remission and relevant subaward costs.</w:t>
      </w:r>
    </w:p>
    <w:p w14:paraId="6EB168CE" w14:textId="77777777" w:rsidR="00225D33" w:rsidRDefault="00000000">
      <w:pPr>
        <w:jc w:val="both"/>
        <w:rPr>
          <w:i/>
          <w:color w:val="0070C0"/>
        </w:rPr>
      </w:pPr>
      <w:r>
        <w:rPr>
          <w:i/>
          <w:color w:val="0070C0"/>
        </w:rPr>
        <w:t xml:space="preserve"> </w:t>
      </w:r>
    </w:p>
    <w:p w14:paraId="270E8F23" w14:textId="77777777" w:rsidR="00225D33" w:rsidRDefault="00000000">
      <w:pPr>
        <w:jc w:val="both"/>
        <w:rPr>
          <w:i/>
          <w:color w:val="0070C0"/>
        </w:rPr>
      </w:pPr>
      <w:r>
        <w:rPr>
          <w:i/>
          <w:color w:val="0070C0"/>
        </w:rPr>
        <w:t>Style 1</w:t>
      </w:r>
    </w:p>
    <w:p w14:paraId="7496058F" w14:textId="77777777" w:rsidR="00225D33" w:rsidRDefault="00000000">
      <w:pPr>
        <w:jc w:val="both"/>
      </w:pPr>
      <w:r>
        <w:rPr>
          <w:b/>
        </w:rPr>
        <w:t>Year “X”</w:t>
      </w:r>
      <w:r>
        <w:t>: $504,743 (TDC) - $42,579 (subaward costs) - $14,199 (equipment) - $21,115 (x1 GSR fee) = $426,851 (Total IDC Base)</w:t>
      </w:r>
    </w:p>
    <w:p w14:paraId="3A60229B" w14:textId="77777777" w:rsidR="00225D33" w:rsidRDefault="00000000">
      <w:pPr>
        <w:ind w:left="360"/>
        <w:jc w:val="both"/>
      </w:pPr>
      <w:r>
        <w:t xml:space="preserve"> </w:t>
      </w:r>
    </w:p>
    <w:p w14:paraId="151C5E44" w14:textId="77777777" w:rsidR="00225D33" w:rsidRDefault="00000000">
      <w:pPr>
        <w:jc w:val="both"/>
        <w:rPr>
          <w:i/>
          <w:color w:val="0070C0"/>
        </w:rPr>
      </w:pPr>
      <w:r>
        <w:rPr>
          <w:i/>
          <w:color w:val="0070C0"/>
        </w:rPr>
        <w:t>Style 2</w:t>
      </w:r>
    </w:p>
    <w:p w14:paraId="7C5914E4" w14:textId="77777777" w:rsidR="00225D33" w:rsidRDefault="00000000">
      <w:pPr>
        <w:pStyle w:val="Heading1"/>
        <w:keepNext w:val="0"/>
        <w:keepLines w:val="0"/>
        <w:spacing w:before="0" w:after="0"/>
        <w:ind w:right="40"/>
        <w:jc w:val="both"/>
        <w:rPr>
          <w:b/>
          <w:sz w:val="22"/>
          <w:szCs w:val="22"/>
          <w:u w:val="single"/>
        </w:rPr>
      </w:pPr>
      <w:bookmarkStart w:id="0" w:name="_e5jimvqv00im" w:colFirst="0" w:colLast="0"/>
      <w:bookmarkEnd w:id="0"/>
      <w:r>
        <w:rPr>
          <w:b/>
          <w:sz w:val="22"/>
          <w:szCs w:val="22"/>
          <w:u w:val="single"/>
        </w:rPr>
        <w:t>Year “X”</w:t>
      </w:r>
    </w:p>
    <w:tbl>
      <w:tblPr>
        <w:tblStyle w:val="a"/>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60"/>
        <w:gridCol w:w="7830"/>
      </w:tblGrid>
      <w:tr w:rsidR="00225D33" w14:paraId="376C0B5E" w14:textId="77777777">
        <w:trPr>
          <w:trHeight w:val="255"/>
        </w:trPr>
        <w:tc>
          <w:tcPr>
            <w:tcW w:w="1260" w:type="dxa"/>
            <w:tcBorders>
              <w:top w:val="nil"/>
              <w:left w:val="nil"/>
              <w:bottom w:val="nil"/>
              <w:right w:val="nil"/>
            </w:tcBorders>
            <w:tcMar>
              <w:top w:w="0" w:type="dxa"/>
              <w:left w:w="0" w:type="dxa"/>
              <w:bottom w:w="0" w:type="dxa"/>
              <w:right w:w="0" w:type="dxa"/>
            </w:tcMar>
          </w:tcPr>
          <w:p w14:paraId="008365E5" w14:textId="77777777" w:rsidR="00225D33" w:rsidRDefault="00000000">
            <w:pPr>
              <w:ind w:left="40"/>
              <w:jc w:val="both"/>
              <w:rPr>
                <w:b/>
              </w:rPr>
            </w:pPr>
            <w:r>
              <w:rPr>
                <w:b/>
              </w:rPr>
              <w:t>$504,743</w:t>
            </w:r>
          </w:p>
        </w:tc>
        <w:tc>
          <w:tcPr>
            <w:tcW w:w="7830" w:type="dxa"/>
            <w:tcBorders>
              <w:top w:val="nil"/>
              <w:left w:val="nil"/>
              <w:bottom w:val="nil"/>
              <w:right w:val="nil"/>
            </w:tcBorders>
            <w:tcMar>
              <w:top w:w="0" w:type="dxa"/>
              <w:left w:w="0" w:type="dxa"/>
              <w:bottom w:w="0" w:type="dxa"/>
              <w:right w:w="0" w:type="dxa"/>
            </w:tcMar>
          </w:tcPr>
          <w:p w14:paraId="4BE8A76E" w14:textId="77777777" w:rsidR="00225D33" w:rsidRDefault="00000000">
            <w:pPr>
              <w:ind w:left="200"/>
              <w:jc w:val="both"/>
              <w:rPr>
                <w:i/>
              </w:rPr>
            </w:pPr>
            <w:r>
              <w:rPr>
                <w:b/>
              </w:rPr>
              <w:t xml:space="preserve">UCLA Total Direct Cost </w:t>
            </w:r>
            <w:r>
              <w:rPr>
                <w:i/>
              </w:rPr>
              <w:t>(including total subaward costs)</w:t>
            </w:r>
          </w:p>
        </w:tc>
      </w:tr>
      <w:tr w:rsidR="00225D33" w14:paraId="49FDDD77" w14:textId="77777777">
        <w:trPr>
          <w:trHeight w:val="255"/>
        </w:trPr>
        <w:tc>
          <w:tcPr>
            <w:tcW w:w="1260" w:type="dxa"/>
            <w:tcBorders>
              <w:top w:val="nil"/>
              <w:left w:val="nil"/>
              <w:bottom w:val="nil"/>
              <w:right w:val="nil"/>
            </w:tcBorders>
            <w:tcMar>
              <w:top w:w="0" w:type="dxa"/>
              <w:left w:w="0" w:type="dxa"/>
              <w:bottom w:w="0" w:type="dxa"/>
              <w:right w:w="0" w:type="dxa"/>
            </w:tcMar>
          </w:tcPr>
          <w:p w14:paraId="46FCE360" w14:textId="77777777" w:rsidR="00225D33" w:rsidRDefault="00000000">
            <w:pPr>
              <w:ind w:left="60"/>
              <w:jc w:val="both"/>
            </w:pPr>
            <w:r>
              <w:t>- $42,578</w:t>
            </w:r>
          </w:p>
        </w:tc>
        <w:tc>
          <w:tcPr>
            <w:tcW w:w="7830" w:type="dxa"/>
            <w:tcBorders>
              <w:top w:val="nil"/>
              <w:left w:val="nil"/>
              <w:bottom w:val="nil"/>
              <w:right w:val="nil"/>
            </w:tcBorders>
            <w:tcMar>
              <w:top w:w="0" w:type="dxa"/>
              <w:left w:w="0" w:type="dxa"/>
              <w:bottom w:w="0" w:type="dxa"/>
              <w:right w:w="0" w:type="dxa"/>
            </w:tcMar>
          </w:tcPr>
          <w:p w14:paraId="6EABA5A0" w14:textId="77777777" w:rsidR="00225D33" w:rsidRDefault="00000000">
            <w:pPr>
              <w:ind w:left="220"/>
              <w:jc w:val="both"/>
              <w:rPr>
                <w:i/>
              </w:rPr>
            </w:pPr>
            <w:r>
              <w:t xml:space="preserve">Subaward costs excluded </w:t>
            </w:r>
            <w:r>
              <w:rPr>
                <w:i/>
              </w:rPr>
              <w:t>(</w:t>
            </w:r>
            <w:proofErr w:type="gramStart"/>
            <w:r>
              <w:rPr>
                <w:i/>
              </w:rPr>
              <w:t>in excess of</w:t>
            </w:r>
            <w:proofErr w:type="gramEnd"/>
            <w:r>
              <w:rPr>
                <w:i/>
              </w:rPr>
              <w:t xml:space="preserve"> the first 25,000)</w:t>
            </w:r>
          </w:p>
        </w:tc>
      </w:tr>
      <w:tr w:rsidR="00225D33" w14:paraId="089F5284" w14:textId="77777777">
        <w:trPr>
          <w:trHeight w:val="255"/>
        </w:trPr>
        <w:tc>
          <w:tcPr>
            <w:tcW w:w="1260" w:type="dxa"/>
            <w:tcBorders>
              <w:top w:val="nil"/>
              <w:left w:val="nil"/>
              <w:bottom w:val="nil"/>
              <w:right w:val="nil"/>
            </w:tcBorders>
            <w:tcMar>
              <w:top w:w="0" w:type="dxa"/>
              <w:left w:w="0" w:type="dxa"/>
              <w:bottom w:w="0" w:type="dxa"/>
              <w:right w:w="0" w:type="dxa"/>
            </w:tcMar>
          </w:tcPr>
          <w:p w14:paraId="2B25FF44" w14:textId="77777777" w:rsidR="00225D33" w:rsidRDefault="00000000">
            <w:pPr>
              <w:ind w:left="40"/>
              <w:jc w:val="both"/>
            </w:pPr>
            <w:r>
              <w:t>- $14,199</w:t>
            </w:r>
          </w:p>
        </w:tc>
        <w:tc>
          <w:tcPr>
            <w:tcW w:w="7830" w:type="dxa"/>
            <w:tcBorders>
              <w:top w:val="nil"/>
              <w:left w:val="nil"/>
              <w:bottom w:val="nil"/>
              <w:right w:val="nil"/>
            </w:tcBorders>
            <w:tcMar>
              <w:top w:w="0" w:type="dxa"/>
              <w:left w:w="0" w:type="dxa"/>
              <w:bottom w:w="0" w:type="dxa"/>
              <w:right w:w="0" w:type="dxa"/>
            </w:tcMar>
          </w:tcPr>
          <w:p w14:paraId="6BBE8FCB" w14:textId="77777777" w:rsidR="00225D33" w:rsidRDefault="00000000">
            <w:pPr>
              <w:ind w:left="200"/>
              <w:jc w:val="both"/>
              <w:rPr>
                <w:i/>
              </w:rPr>
            </w:pPr>
            <w:r>
              <w:t xml:space="preserve">Equipment Cost </w:t>
            </w:r>
            <w:r>
              <w:rPr>
                <w:i/>
              </w:rPr>
              <w:t>(total cost for all items that qualify as “equipment”)</w:t>
            </w:r>
          </w:p>
        </w:tc>
      </w:tr>
      <w:tr w:rsidR="00225D33" w14:paraId="748B5693" w14:textId="77777777">
        <w:trPr>
          <w:trHeight w:val="255"/>
        </w:trPr>
        <w:tc>
          <w:tcPr>
            <w:tcW w:w="1260" w:type="dxa"/>
            <w:tcBorders>
              <w:top w:val="nil"/>
              <w:left w:val="nil"/>
              <w:bottom w:val="nil"/>
              <w:right w:val="nil"/>
            </w:tcBorders>
            <w:tcMar>
              <w:top w:w="0" w:type="dxa"/>
              <w:left w:w="0" w:type="dxa"/>
              <w:bottom w:w="0" w:type="dxa"/>
              <w:right w:w="0" w:type="dxa"/>
            </w:tcMar>
          </w:tcPr>
          <w:p w14:paraId="632D377E" w14:textId="77777777" w:rsidR="00225D33" w:rsidRDefault="00000000">
            <w:pPr>
              <w:ind w:left="40"/>
              <w:jc w:val="both"/>
            </w:pPr>
            <w:r>
              <w:t>- $21,115</w:t>
            </w:r>
          </w:p>
        </w:tc>
        <w:tc>
          <w:tcPr>
            <w:tcW w:w="7830" w:type="dxa"/>
            <w:tcBorders>
              <w:top w:val="nil"/>
              <w:left w:val="nil"/>
              <w:bottom w:val="nil"/>
              <w:right w:val="nil"/>
            </w:tcBorders>
            <w:tcMar>
              <w:top w:w="0" w:type="dxa"/>
              <w:left w:w="0" w:type="dxa"/>
              <w:bottom w:w="0" w:type="dxa"/>
              <w:right w:w="0" w:type="dxa"/>
            </w:tcMar>
          </w:tcPr>
          <w:p w14:paraId="58B6B6B0" w14:textId="77777777" w:rsidR="00225D33" w:rsidRDefault="00000000">
            <w:pPr>
              <w:ind w:left="200"/>
              <w:jc w:val="both"/>
              <w:rPr>
                <w:i/>
              </w:rPr>
            </w:pPr>
            <w:r>
              <w:t xml:space="preserve">x1 GSR fee remission </w:t>
            </w:r>
            <w:r>
              <w:rPr>
                <w:i/>
              </w:rPr>
              <w:t>(number of students and total fee costs)</w:t>
            </w:r>
          </w:p>
        </w:tc>
      </w:tr>
      <w:tr w:rsidR="00225D33" w14:paraId="71BF26FB" w14:textId="77777777">
        <w:trPr>
          <w:trHeight w:val="255"/>
        </w:trPr>
        <w:tc>
          <w:tcPr>
            <w:tcW w:w="1260" w:type="dxa"/>
            <w:tcBorders>
              <w:top w:val="single" w:sz="6" w:space="0" w:color="000000"/>
              <w:left w:val="nil"/>
              <w:bottom w:val="nil"/>
              <w:right w:val="nil"/>
            </w:tcBorders>
            <w:tcMar>
              <w:top w:w="0" w:type="dxa"/>
              <w:left w:w="0" w:type="dxa"/>
              <w:bottom w:w="0" w:type="dxa"/>
              <w:right w:w="0" w:type="dxa"/>
            </w:tcMar>
          </w:tcPr>
          <w:p w14:paraId="20854109" w14:textId="77777777" w:rsidR="00225D33" w:rsidRDefault="00000000">
            <w:pPr>
              <w:ind w:left="40"/>
              <w:jc w:val="both"/>
              <w:rPr>
                <w:b/>
              </w:rPr>
            </w:pPr>
            <w:r>
              <w:rPr>
                <w:b/>
              </w:rPr>
              <w:t>$426,851</w:t>
            </w:r>
          </w:p>
        </w:tc>
        <w:tc>
          <w:tcPr>
            <w:tcW w:w="7830" w:type="dxa"/>
            <w:tcBorders>
              <w:top w:val="nil"/>
              <w:left w:val="nil"/>
              <w:bottom w:val="nil"/>
              <w:right w:val="nil"/>
            </w:tcBorders>
            <w:tcMar>
              <w:top w:w="0" w:type="dxa"/>
              <w:left w:w="0" w:type="dxa"/>
              <w:bottom w:w="0" w:type="dxa"/>
              <w:right w:w="0" w:type="dxa"/>
            </w:tcMar>
          </w:tcPr>
          <w:p w14:paraId="331CC505" w14:textId="77777777" w:rsidR="00225D33" w:rsidRDefault="00000000">
            <w:pPr>
              <w:ind w:left="200"/>
              <w:jc w:val="both"/>
              <w:rPr>
                <w:b/>
              </w:rPr>
            </w:pPr>
            <w:r>
              <w:rPr>
                <w:b/>
              </w:rPr>
              <w:t>UCLA Indirect Cost Base</w:t>
            </w:r>
          </w:p>
        </w:tc>
      </w:tr>
    </w:tbl>
    <w:p w14:paraId="4D47670A" w14:textId="77777777" w:rsidR="00225D33" w:rsidRDefault="00000000">
      <w:pPr>
        <w:ind w:left="140" w:right="560"/>
        <w:jc w:val="both"/>
      </w:pPr>
      <w:r>
        <w:t xml:space="preserve"> </w:t>
      </w:r>
    </w:p>
    <w:p w14:paraId="4748CE36" w14:textId="77777777" w:rsidR="00225D33" w:rsidRDefault="00225D33">
      <w:pPr>
        <w:jc w:val="both"/>
        <w:rPr>
          <w:b/>
          <w:color w:val="0070C0"/>
        </w:rPr>
      </w:pPr>
    </w:p>
    <w:p w14:paraId="4F1BD6D1" w14:textId="77777777" w:rsidR="00225D33" w:rsidRDefault="00000000">
      <w:pPr>
        <w:jc w:val="both"/>
        <w:rPr>
          <w:b/>
          <w:color w:val="0070C0"/>
        </w:rPr>
      </w:pPr>
      <w:r>
        <w:rPr>
          <w:b/>
          <w:color w:val="0070C0"/>
        </w:rPr>
        <w:t xml:space="preserve">Use the following justification when </w:t>
      </w:r>
      <w:proofErr w:type="gramStart"/>
      <w:r>
        <w:rPr>
          <w:b/>
          <w:color w:val="0070C0"/>
        </w:rPr>
        <w:t>applying</w:t>
      </w:r>
      <w:proofErr w:type="gramEnd"/>
      <w:r>
        <w:rPr>
          <w:b/>
          <w:color w:val="0070C0"/>
        </w:rPr>
        <w:t xml:space="preserve"> a lower IDC rate and requesting a vital interest IDC exception.</w:t>
      </w:r>
    </w:p>
    <w:p w14:paraId="7A0CEAA9" w14:textId="77777777" w:rsidR="00225D33" w:rsidRDefault="00000000">
      <w:pPr>
        <w:spacing w:before="240" w:after="240"/>
        <w:jc w:val="both"/>
        <w:rPr>
          <w:i/>
        </w:rPr>
      </w:pPr>
      <w:r>
        <w:rPr>
          <w:i/>
        </w:rPr>
        <w:t>“In accordance with Request for Application XXXXX (insert a RFA number/information if available), indirect costs are capped at a maximum of X% of the total budget (insert sponsor’s allowed IDC rate). This proposal applies an IDC rate of X% to Modified Total Direct Costs (MTDC), which is below UCLA’s negotiated rate of X% for the State of California or Federal (select one).</w:t>
      </w:r>
    </w:p>
    <w:p w14:paraId="5C935452" w14:textId="77777777" w:rsidR="00225D33" w:rsidRDefault="00000000">
      <w:pPr>
        <w:spacing w:before="240" w:after="240"/>
        <w:jc w:val="both"/>
        <w:rPr>
          <w:i/>
        </w:rPr>
      </w:pPr>
      <w:r>
        <w:rPr>
          <w:i/>
        </w:rPr>
        <w:t>An exception request has been submitted to the UC Office of the President for approval. If granted, this reduced rate will allow UCLA to allocate more funds to direct programmatic activities, reinforcing the university’s commitment to maximizing the impact of grant resources.”</w:t>
      </w:r>
    </w:p>
    <w:p w14:paraId="1B16C29B" w14:textId="77777777" w:rsidR="00225D33" w:rsidRDefault="00225D33">
      <w:pPr>
        <w:jc w:val="both"/>
        <w:rPr>
          <w:b/>
          <w:color w:val="0070C0"/>
        </w:rPr>
      </w:pPr>
    </w:p>
    <w:p w14:paraId="53346E9A" w14:textId="77777777" w:rsidR="00225D33" w:rsidRDefault="00225D33">
      <w:pPr>
        <w:jc w:val="both"/>
        <w:rPr>
          <w:b/>
          <w:color w:val="0070C0"/>
        </w:rPr>
      </w:pPr>
    </w:p>
    <w:p w14:paraId="65C9D645" w14:textId="77777777" w:rsidR="00225D33" w:rsidRDefault="00225D33">
      <w:pPr>
        <w:jc w:val="both"/>
        <w:rPr>
          <w:b/>
          <w:u w:val="single"/>
        </w:rPr>
      </w:pPr>
    </w:p>
    <w:p w14:paraId="0B2E0FE1" w14:textId="77777777" w:rsidR="00225D33" w:rsidRDefault="00225D33">
      <w:pPr>
        <w:jc w:val="both"/>
        <w:rPr>
          <w:b/>
          <w:u w:val="single"/>
        </w:rPr>
      </w:pPr>
    </w:p>
    <w:p w14:paraId="0123D30E" w14:textId="77777777" w:rsidR="00225D33" w:rsidRDefault="00000000">
      <w:pPr>
        <w:jc w:val="both"/>
        <w:rPr>
          <w:b/>
          <w:u w:val="single"/>
        </w:rPr>
      </w:pPr>
      <w:r>
        <w:rPr>
          <w:b/>
          <w:u w:val="single"/>
        </w:rPr>
        <w:t>DESCRIPTIVE LANGUAGE FOR OTHER RELATED COSTS</w:t>
      </w:r>
    </w:p>
    <w:p w14:paraId="566468EC" w14:textId="77777777" w:rsidR="00225D33" w:rsidRDefault="00000000">
      <w:pPr>
        <w:jc w:val="both"/>
        <w:rPr>
          <w:b/>
          <w:color w:val="0070C0"/>
        </w:rPr>
      </w:pPr>
      <w:r>
        <w:rPr>
          <w:b/>
          <w:color w:val="0070C0"/>
        </w:rPr>
        <w:t xml:space="preserve"> </w:t>
      </w:r>
    </w:p>
    <w:p w14:paraId="6519FF59" w14:textId="77777777" w:rsidR="00225D33" w:rsidRPr="00200FA7" w:rsidRDefault="00000000">
      <w:pPr>
        <w:jc w:val="both"/>
        <w:rPr>
          <w:i/>
          <w:u w:val="single"/>
        </w:rPr>
      </w:pPr>
      <w:r w:rsidRPr="00200FA7">
        <w:rPr>
          <w:i/>
          <w:u w:val="single"/>
        </w:rPr>
        <w:t>Personnel Costs</w:t>
      </w:r>
    </w:p>
    <w:p w14:paraId="3165E7ED" w14:textId="77777777" w:rsidR="00225D33" w:rsidRDefault="00000000">
      <w:pPr>
        <w:jc w:val="both"/>
        <w:rPr>
          <w:b/>
        </w:rPr>
      </w:pPr>
      <w:r>
        <w:rPr>
          <w:b/>
        </w:rPr>
        <w:t xml:space="preserve"> </w:t>
      </w:r>
    </w:p>
    <w:p w14:paraId="2D7F4CD6" w14:textId="77777777" w:rsidR="00225D33" w:rsidRDefault="00000000">
      <w:pPr>
        <w:pStyle w:val="Heading1"/>
        <w:keepNext w:val="0"/>
        <w:keepLines w:val="0"/>
        <w:spacing w:before="0" w:after="0"/>
        <w:jc w:val="both"/>
        <w:rPr>
          <w:sz w:val="22"/>
          <w:szCs w:val="22"/>
        </w:rPr>
      </w:pPr>
      <w:bookmarkStart w:id="1" w:name="_l97oeu67dop5" w:colFirst="0" w:colLast="0"/>
      <w:bookmarkEnd w:id="1"/>
      <w:r>
        <w:rPr>
          <w:b/>
          <w:sz w:val="22"/>
          <w:szCs w:val="22"/>
        </w:rPr>
        <w:t>Dr. Bruin, Ph.D., Principal Investigator (4.8 calendar months Y1-Y5)</w:t>
      </w:r>
      <w:r>
        <w:rPr>
          <w:sz w:val="22"/>
          <w:szCs w:val="22"/>
        </w:rPr>
        <w:t>. Dr. Bruin has been PI of two NIH-funded training awards and has been first or senior author on 10 peer-reviewed manuscripts investigating the role of neuroendocrine factors in brain function and behavior. ……</w:t>
      </w:r>
    </w:p>
    <w:p w14:paraId="07B36A23" w14:textId="77777777" w:rsidR="00225D33" w:rsidRDefault="00225D33"/>
    <w:p w14:paraId="08FB83A1" w14:textId="77777777" w:rsidR="00225D33" w:rsidRDefault="00000000">
      <w:pPr>
        <w:jc w:val="both"/>
      </w:pPr>
      <w:r>
        <w:rPr>
          <w:b/>
        </w:rPr>
        <w:t xml:space="preserve">TBN Staff Research Associate (12 calendar months Y1-Y5). </w:t>
      </w:r>
      <w:r>
        <w:t>This individual will be trained by the PI and all three co-investigators, with regular support from the TBN postdoctoral fellow. Responsibilities include recruiting participants, obtaining informed consent, scheduling…</w:t>
      </w:r>
    </w:p>
    <w:p w14:paraId="33F572D5" w14:textId="77777777" w:rsidR="00225D33" w:rsidRDefault="00225D33">
      <w:pPr>
        <w:jc w:val="both"/>
      </w:pPr>
    </w:p>
    <w:p w14:paraId="6A4329D2" w14:textId="4DD680DB" w:rsidR="00225D33" w:rsidRDefault="00000000">
      <w:pPr>
        <w:jc w:val="both"/>
      </w:pPr>
      <w:r>
        <w:rPr>
          <w:b/>
        </w:rPr>
        <w:t>James Bruin</w:t>
      </w:r>
      <w:r w:rsidR="00067184">
        <w:rPr>
          <w:b/>
        </w:rPr>
        <w:t>,</w:t>
      </w:r>
      <w:r>
        <w:rPr>
          <w:b/>
        </w:rPr>
        <w:t xml:space="preserve"> M.D. (Consultant)</w:t>
      </w:r>
      <w:r w:rsidR="00067184">
        <w:rPr>
          <w:b/>
        </w:rPr>
        <w:t>,</w:t>
      </w:r>
      <w:r>
        <w:rPr>
          <w:b/>
        </w:rPr>
        <w:t xml:space="preserve"> </w:t>
      </w:r>
      <w:r>
        <w:t xml:space="preserve">will be contracted for all years of the project at a rate of </w:t>
      </w:r>
      <w:r w:rsidR="00067184">
        <w:t xml:space="preserve">$ </w:t>
      </w:r>
      <w:r>
        <w:t>78/</w:t>
      </w:r>
      <w:proofErr w:type="spellStart"/>
      <w:r>
        <w:t>hr</w:t>
      </w:r>
      <w:proofErr w:type="spellEnd"/>
      <w:r>
        <w:t xml:space="preserve"> for 20 hours in each year. Dr. Bruin will perform…… </w:t>
      </w:r>
    </w:p>
    <w:p w14:paraId="2DA85254" w14:textId="77777777" w:rsidR="00225D33" w:rsidRDefault="00225D33">
      <w:pPr>
        <w:jc w:val="both"/>
      </w:pPr>
    </w:p>
    <w:p w14:paraId="2D6B2FB7" w14:textId="77777777" w:rsidR="00225D33" w:rsidRDefault="00000000">
      <w:pPr>
        <w:jc w:val="both"/>
        <w:rPr>
          <w:color w:val="FF0000"/>
        </w:rPr>
      </w:pPr>
      <w:r>
        <w:rPr>
          <w:color w:val="FF0000"/>
        </w:rPr>
        <w:t>*** Additional personnel descriptives:</w:t>
      </w:r>
    </w:p>
    <w:p w14:paraId="04125919" w14:textId="114CD9E5" w:rsidR="00225D33" w:rsidRDefault="00067184">
      <w:pPr>
        <w:numPr>
          <w:ilvl w:val="0"/>
          <w:numId w:val="1"/>
        </w:numPr>
        <w:jc w:val="both"/>
        <w:rPr>
          <w:color w:val="FF0000"/>
        </w:rPr>
      </w:pPr>
      <w:r>
        <w:rPr>
          <w:color w:val="FF0000"/>
        </w:rPr>
        <w:t>How do we justify someone with no effort who wants to serve as an “Other significant contributor”?</w:t>
      </w:r>
    </w:p>
    <w:p w14:paraId="4EF0D0D9" w14:textId="77777777" w:rsidR="00225D33" w:rsidRDefault="00000000">
      <w:pPr>
        <w:numPr>
          <w:ilvl w:val="0"/>
          <w:numId w:val="1"/>
        </w:numPr>
        <w:jc w:val="both"/>
        <w:rPr>
          <w:color w:val="FF0000"/>
        </w:rPr>
      </w:pPr>
      <w:r>
        <w:rPr>
          <w:color w:val="FF0000"/>
        </w:rPr>
        <w:t>How do we justify someone who is “donating” effort</w:t>
      </w:r>
    </w:p>
    <w:p w14:paraId="0788FA97" w14:textId="77777777" w:rsidR="00225D33" w:rsidRDefault="00000000">
      <w:pPr>
        <w:numPr>
          <w:ilvl w:val="1"/>
          <w:numId w:val="1"/>
        </w:numPr>
        <w:jc w:val="both"/>
        <w:rPr>
          <w:color w:val="FF0000"/>
        </w:rPr>
      </w:pPr>
      <w:r>
        <w:rPr>
          <w:color w:val="FF0000"/>
        </w:rPr>
        <w:t>100% unfunded effort</w:t>
      </w:r>
    </w:p>
    <w:p w14:paraId="2D021998" w14:textId="77777777" w:rsidR="00225D33" w:rsidRDefault="00000000">
      <w:pPr>
        <w:numPr>
          <w:ilvl w:val="1"/>
          <w:numId w:val="1"/>
        </w:numPr>
        <w:jc w:val="both"/>
        <w:rPr>
          <w:color w:val="FF0000"/>
        </w:rPr>
      </w:pPr>
      <w:r>
        <w:rPr>
          <w:color w:val="FF0000"/>
        </w:rPr>
        <w:t>Partial unfunded effort</w:t>
      </w:r>
    </w:p>
    <w:p w14:paraId="449CB289" w14:textId="77777777" w:rsidR="00225D33" w:rsidRDefault="00225D33">
      <w:pPr>
        <w:jc w:val="both"/>
        <w:rPr>
          <w:b/>
        </w:rPr>
      </w:pPr>
    </w:p>
    <w:p w14:paraId="4A7A1533" w14:textId="77777777" w:rsidR="00225D33" w:rsidRDefault="00000000">
      <w:pPr>
        <w:jc w:val="both"/>
        <w:rPr>
          <w:b/>
        </w:rPr>
      </w:pPr>
      <w:r>
        <w:rPr>
          <w:b/>
        </w:rPr>
        <w:t>VA UCLA Joint Appointees</w:t>
      </w:r>
    </w:p>
    <w:p w14:paraId="488C20CA" w14:textId="13F88F48" w:rsidR="00225D33" w:rsidRDefault="00000000">
      <w:pPr>
        <w:jc w:val="both"/>
        <w:rPr>
          <w:i/>
        </w:rPr>
      </w:pPr>
      <w:r>
        <w:t>[Dr. XXXX]</w:t>
      </w:r>
      <w:r>
        <w:rPr>
          <w:i/>
        </w:rPr>
        <w:t xml:space="preserve"> is a dual appointee of UCLA and the VA of Greater Los Angeles Health System. The institutional base salary in this application represents only the salary and benefits from UCLA. It is certified </w:t>
      </w:r>
      <w:r w:rsidR="00067184">
        <w:rPr>
          <w:i/>
        </w:rPr>
        <w:t xml:space="preserve">that </w:t>
      </w:r>
      <w:r>
        <w:rPr>
          <w:i/>
        </w:rPr>
        <w:t xml:space="preserve">there is no possibility of dual compensation for the same work, or of an actual or apparent conflict of interest regarding the proposed work. [Dr. XXXXX’s Memorandum of Understanding will be available on request. </w:t>
      </w:r>
    </w:p>
    <w:p w14:paraId="42D2C85D" w14:textId="77777777" w:rsidR="00225D33" w:rsidRDefault="00225D33">
      <w:pPr>
        <w:jc w:val="both"/>
      </w:pPr>
    </w:p>
    <w:p w14:paraId="2B5D6F9A" w14:textId="77777777" w:rsidR="00225D33" w:rsidRDefault="00225D33">
      <w:pPr>
        <w:jc w:val="both"/>
      </w:pPr>
    </w:p>
    <w:p w14:paraId="3A8F3C4A" w14:textId="77777777" w:rsidR="00225D33" w:rsidRPr="00200FA7" w:rsidRDefault="00000000">
      <w:pPr>
        <w:jc w:val="both"/>
        <w:rPr>
          <w:i/>
          <w:u w:val="single"/>
        </w:rPr>
      </w:pPr>
      <w:r w:rsidRPr="00200FA7">
        <w:rPr>
          <w:i/>
          <w:u w:val="single"/>
        </w:rPr>
        <w:t>Tuition &amp; Fees</w:t>
      </w:r>
    </w:p>
    <w:p w14:paraId="2408B874" w14:textId="77777777" w:rsidR="00225D33" w:rsidRDefault="00225D33">
      <w:pPr>
        <w:jc w:val="both"/>
      </w:pPr>
    </w:p>
    <w:p w14:paraId="7D98FE3F" w14:textId="33F905ED" w:rsidR="00225D33" w:rsidRDefault="00000000">
      <w:pPr>
        <w:jc w:val="both"/>
      </w:pPr>
      <w:r>
        <w:rPr>
          <w:b/>
        </w:rPr>
        <w:t>Graduate Student Researcher Fee Remission</w:t>
      </w:r>
      <w:r>
        <w:t xml:space="preserve"> ($21,115/yr) UCLA GSRs appointed at 25% time or greater qualify for fee remissions that cover 100% of the Education, Registration, and UCSHIP fees for the quarter(s) of appointment. Fee remission is requested for GSR, [insert name], who will </w:t>
      </w:r>
      <w:r w:rsidR="00067184" w:rsidRPr="00067184">
        <w:t>dedicate six calendar months (50% of their effort) annually to</w:t>
      </w:r>
      <w:r>
        <w:t xml:space="preserve"> this project.</w:t>
      </w:r>
    </w:p>
    <w:p w14:paraId="715EBB5B" w14:textId="77777777" w:rsidR="00225D33" w:rsidRDefault="00000000">
      <w:pPr>
        <w:jc w:val="both"/>
        <w:rPr>
          <w:b/>
        </w:rPr>
      </w:pPr>
      <w:r>
        <w:rPr>
          <w:b/>
        </w:rPr>
        <w:t xml:space="preserve"> </w:t>
      </w:r>
    </w:p>
    <w:p w14:paraId="5A4697A8" w14:textId="77777777" w:rsidR="00225D33" w:rsidRDefault="00225D33">
      <w:pPr>
        <w:jc w:val="both"/>
        <w:rPr>
          <w:b/>
        </w:rPr>
      </w:pPr>
    </w:p>
    <w:p w14:paraId="60E54A2E" w14:textId="77777777" w:rsidR="00C4781A" w:rsidRDefault="00C4781A">
      <w:pPr>
        <w:jc w:val="both"/>
        <w:rPr>
          <w:i/>
        </w:rPr>
      </w:pPr>
    </w:p>
    <w:p w14:paraId="750DA625" w14:textId="77777777" w:rsidR="00C4781A" w:rsidRDefault="00C4781A">
      <w:pPr>
        <w:jc w:val="both"/>
        <w:rPr>
          <w:i/>
        </w:rPr>
      </w:pPr>
    </w:p>
    <w:p w14:paraId="6134DCC6" w14:textId="575BBA79" w:rsidR="00225D33" w:rsidRPr="00200FA7" w:rsidRDefault="00000000">
      <w:pPr>
        <w:jc w:val="both"/>
        <w:rPr>
          <w:i/>
          <w:u w:val="single"/>
        </w:rPr>
      </w:pPr>
      <w:r w:rsidRPr="00200FA7">
        <w:rPr>
          <w:i/>
          <w:u w:val="single"/>
        </w:rPr>
        <w:t>UCLA TIF &amp; GAEL</w:t>
      </w:r>
    </w:p>
    <w:p w14:paraId="4406827A" w14:textId="77777777" w:rsidR="00225D33" w:rsidRDefault="00225D33">
      <w:pPr>
        <w:jc w:val="both"/>
        <w:rPr>
          <w:i/>
        </w:rPr>
      </w:pPr>
    </w:p>
    <w:p w14:paraId="48C86766" w14:textId="77777777" w:rsidR="00225D33" w:rsidRDefault="00000000">
      <w:pPr>
        <w:jc w:val="both"/>
      </w:pPr>
      <w:r>
        <w:rPr>
          <w:b/>
        </w:rPr>
        <w:t xml:space="preserve">General Liability Insurance </w:t>
      </w:r>
      <w:r>
        <w:t>(</w:t>
      </w:r>
      <w:r>
        <w:rPr>
          <w:i/>
        </w:rPr>
        <w:t>applicable for all non-Federal grants unless stated otherwise</w:t>
      </w:r>
      <w:r>
        <w:t>)</w:t>
      </w:r>
    </w:p>
    <w:p w14:paraId="4B338F2B" w14:textId="2E9F36A2" w:rsidR="00225D33" w:rsidRDefault="00000000">
      <w:pPr>
        <w:jc w:val="both"/>
      </w:pPr>
      <w:r>
        <w:t xml:space="preserve">UCLA maintains a self-insurance program to cover the costs of its General Liability Program. Charges are made as a percentage of each $100 of salary costs and assessed to </w:t>
      </w:r>
      <w:r>
        <w:rPr>
          <w:i/>
        </w:rPr>
        <w:t>all extramural funding sources</w:t>
      </w:r>
      <w:r w:rsidR="00067184">
        <w:rPr>
          <w:i/>
        </w:rPr>
        <w:t>,</w:t>
      </w:r>
      <w:r>
        <w:t xml:space="preserve"> </w:t>
      </w:r>
      <w:r w:rsidR="00067184">
        <w:t>except</w:t>
      </w:r>
      <w:r>
        <w:t xml:space="preserve"> support from the federal government / flow-through funds.  These costs are charged as direct costs, are not recovered as indirect</w:t>
      </w:r>
      <w:r w:rsidR="00067184">
        <w:t xml:space="preserve"> costs</w:t>
      </w:r>
      <w:r>
        <w:t xml:space="preserve">, and are calculated at a rate of </w:t>
      </w:r>
      <w:r w:rsidRPr="0058423B">
        <w:t>$1.</w:t>
      </w:r>
      <w:r w:rsidR="00724D6B" w:rsidRPr="0058423B">
        <w:t>75</w:t>
      </w:r>
      <w:r>
        <w:t xml:space="preserve"> per $100 salary. Funds are requested at the annual cost of [$XX].</w:t>
      </w:r>
    </w:p>
    <w:p w14:paraId="140839AB" w14:textId="77777777" w:rsidR="00225D33" w:rsidRDefault="00000000">
      <w:pPr>
        <w:jc w:val="both"/>
        <w:rPr>
          <w:b/>
        </w:rPr>
      </w:pPr>
      <w:r>
        <w:rPr>
          <w:b/>
        </w:rPr>
        <w:t xml:space="preserve"> </w:t>
      </w:r>
    </w:p>
    <w:p w14:paraId="1A990ED2" w14:textId="77777777" w:rsidR="00225D33" w:rsidRDefault="00000000">
      <w:pPr>
        <w:jc w:val="both"/>
        <w:rPr>
          <w:b/>
        </w:rPr>
      </w:pPr>
      <w:r>
        <w:rPr>
          <w:b/>
        </w:rPr>
        <w:t>UCLA Technology Infrastructure Fee</w:t>
      </w:r>
    </w:p>
    <w:p w14:paraId="7CDA3C84" w14:textId="56797524" w:rsidR="00225D33" w:rsidRDefault="00000000">
      <w:pPr>
        <w:jc w:val="both"/>
        <w:rPr>
          <w:b/>
        </w:rPr>
      </w:pPr>
      <w:r>
        <w:t xml:space="preserve">The Technology Infrastructure Fee (TIF) is a consistently applied direct charge that is assessed to every campus activity unit, regardless of funding source, including units identified as individual grant and contract awards. The TIF pays for campus communication services </w:t>
      </w:r>
      <w:r w:rsidR="00067184">
        <w:t>based</w:t>
      </w:r>
      <w:r>
        <w:t xml:space="preserve"> o</w:t>
      </w:r>
      <w:r w:rsidR="00067184">
        <w:t>n</w:t>
      </w:r>
      <w:r>
        <w:t xml:space="preserve"> a monthly accounting of actual usage data. These costs are charged as direct costs and are not recovered as indirect costs.  Calculated using $43.96 per calendar month per 1.0 FTE, we request [$XX] annually for this line item.</w:t>
      </w:r>
      <w:r>
        <w:rPr>
          <w:b/>
        </w:rPr>
        <w:t xml:space="preserve"> </w:t>
      </w:r>
    </w:p>
    <w:p w14:paraId="5B5096ED" w14:textId="77777777" w:rsidR="00225D33" w:rsidRDefault="00225D33">
      <w:pPr>
        <w:jc w:val="both"/>
        <w:rPr>
          <w:i/>
        </w:rPr>
      </w:pPr>
    </w:p>
    <w:p w14:paraId="3DBAEF6B" w14:textId="77777777" w:rsidR="00225D33" w:rsidRDefault="00225D33">
      <w:pPr>
        <w:jc w:val="both"/>
        <w:rPr>
          <w:i/>
        </w:rPr>
      </w:pPr>
    </w:p>
    <w:p w14:paraId="477FB63C" w14:textId="77777777" w:rsidR="00225D33" w:rsidRPr="00200FA7" w:rsidRDefault="00000000">
      <w:pPr>
        <w:jc w:val="both"/>
        <w:rPr>
          <w:i/>
          <w:u w:val="single"/>
        </w:rPr>
      </w:pPr>
      <w:r w:rsidRPr="00200FA7">
        <w:rPr>
          <w:i/>
          <w:u w:val="single"/>
        </w:rPr>
        <w:t xml:space="preserve">Travel - Domestic &amp; International </w:t>
      </w:r>
    </w:p>
    <w:p w14:paraId="097EF7E3" w14:textId="77777777" w:rsidR="00225D33" w:rsidRDefault="00000000">
      <w:pPr>
        <w:jc w:val="both"/>
        <w:rPr>
          <w:i/>
        </w:rPr>
      </w:pPr>
      <w:r>
        <w:rPr>
          <w:i/>
        </w:rPr>
        <w:t xml:space="preserve">Link to UCLA </w:t>
      </w:r>
      <w:hyperlink r:id="rId10">
        <w:r w:rsidR="00225D33">
          <w:rPr>
            <w:i/>
            <w:color w:val="1155CC"/>
            <w:u w:val="single"/>
          </w:rPr>
          <w:t>2025 Reimbursement Allowances for Mileage &amp; Meals | Travel Services</w:t>
        </w:r>
      </w:hyperlink>
    </w:p>
    <w:p w14:paraId="66F87C01" w14:textId="77777777" w:rsidR="00225D33" w:rsidRDefault="00225D33">
      <w:pPr>
        <w:jc w:val="both"/>
        <w:rPr>
          <w:i/>
        </w:rPr>
      </w:pPr>
    </w:p>
    <w:p w14:paraId="65BA2992" w14:textId="0C8FC8FD" w:rsidR="00225D33" w:rsidRDefault="00000000">
      <w:pPr>
        <w:jc w:val="both"/>
      </w:pPr>
      <w:r>
        <w:rPr>
          <w:b/>
        </w:rPr>
        <w:t>Travel</w:t>
      </w:r>
      <w:r>
        <w:rPr>
          <w:i/>
        </w:rPr>
        <w:t xml:space="preserve"> </w:t>
      </w:r>
      <w:r>
        <w:rPr>
          <w:b/>
        </w:rPr>
        <w:t>Domestic:</w:t>
      </w:r>
      <w:r>
        <w:t xml:space="preserve"> [$1,300] is requested annually for the PI to disseminate findings at a domestic scientific conference</w:t>
      </w:r>
      <w:r w:rsidR="00067184">
        <w:t>,</w:t>
      </w:r>
      <w:r>
        <w:t xml:space="preserve"> such as the [Society for Neuroscience]. Travel costs are estimated at [$1,300] per trip, per person for a [3-day, 2-night stay as follows: Registration ($400), round-trip, economy flight originating from Los Angeles, CA ($350), lodging ($150 per night, $300 total), meals and transportation ($250)].</w:t>
      </w:r>
    </w:p>
    <w:p w14:paraId="31D9C5DE" w14:textId="77777777" w:rsidR="00225D33" w:rsidRDefault="00225D33">
      <w:pPr>
        <w:jc w:val="both"/>
        <w:rPr>
          <w:i/>
        </w:rPr>
      </w:pPr>
    </w:p>
    <w:p w14:paraId="0A88AAD8" w14:textId="2E0F5964" w:rsidR="00225D33" w:rsidRDefault="00000000">
      <w:pPr>
        <w:jc w:val="both"/>
        <w:rPr>
          <w:i/>
        </w:rPr>
      </w:pPr>
      <w:r>
        <w:rPr>
          <w:i/>
        </w:rPr>
        <w:t xml:space="preserve">For domestic university business travel </w:t>
      </w:r>
      <w:r w:rsidR="00067184">
        <w:rPr>
          <w:i/>
        </w:rPr>
        <w:t xml:space="preserve">lasting </w:t>
      </w:r>
      <w:r>
        <w:rPr>
          <w:i/>
        </w:rPr>
        <w:t>less than 30</w:t>
      </w:r>
      <w:r w:rsidR="00067184">
        <w:rPr>
          <w:i/>
        </w:rPr>
        <w:t xml:space="preserve"> </w:t>
      </w:r>
      <w:r>
        <w:rPr>
          <w:i/>
        </w:rPr>
        <w:t xml:space="preserve">days, UCLA travelers are reimbursed for actual meal and lodging expenses rather than per diem.  Per university policy, </w:t>
      </w:r>
      <w:r w:rsidR="00067184">
        <w:rPr>
          <w:i/>
        </w:rPr>
        <w:t>exact</w:t>
      </w:r>
      <w:r>
        <w:rPr>
          <w:i/>
        </w:rPr>
        <w:t xml:space="preserve"> amounts are subject to a daily limit.</w:t>
      </w:r>
    </w:p>
    <w:p w14:paraId="380EE81A" w14:textId="77777777" w:rsidR="00225D33" w:rsidRDefault="00000000">
      <w:pPr>
        <w:jc w:val="both"/>
        <w:rPr>
          <w:i/>
          <w:u w:val="single"/>
        </w:rPr>
      </w:pPr>
      <w:r>
        <w:rPr>
          <w:i/>
          <w:u w:val="single"/>
        </w:rPr>
        <w:t xml:space="preserve"> </w:t>
      </w:r>
    </w:p>
    <w:p w14:paraId="2EEAF9CC" w14:textId="1DE53044" w:rsidR="00225D33" w:rsidRDefault="00000000">
      <w:pPr>
        <w:jc w:val="both"/>
      </w:pPr>
      <w:r>
        <w:rPr>
          <w:b/>
        </w:rPr>
        <w:t>Travel</w:t>
      </w:r>
      <w:r>
        <w:rPr>
          <w:i/>
        </w:rPr>
        <w:t xml:space="preserve"> </w:t>
      </w:r>
      <w:r>
        <w:rPr>
          <w:b/>
        </w:rPr>
        <w:t>International:</w:t>
      </w:r>
      <w:r>
        <w:t xml:space="preserve"> [$2,800] is requested in year</w:t>
      </w:r>
      <w:r w:rsidR="00067184">
        <w:t>s</w:t>
      </w:r>
      <w:r>
        <w:t xml:space="preserve"> [3 and 5] only, for the PI to disseminate findings at an international scientific conference such as the [Organization for Human Brain Mapping]. Travel costs are estimated at [$2,800 per trip, for a 4-night stay as follows: Registration ($700), round-trip, economy flight originating from Los Angeles, CA ($800), international lodging and meal per diem ($325 per day, $1,300 total). </w:t>
      </w:r>
    </w:p>
    <w:p w14:paraId="077DE479" w14:textId="77777777" w:rsidR="00225D33" w:rsidRDefault="00000000">
      <w:pPr>
        <w:jc w:val="both"/>
      </w:pPr>
      <w:r>
        <w:t xml:space="preserve"> </w:t>
      </w:r>
    </w:p>
    <w:p w14:paraId="2961B263" w14:textId="77777777" w:rsidR="00200FA7" w:rsidRDefault="00200FA7">
      <w:pPr>
        <w:jc w:val="both"/>
        <w:rPr>
          <w:b/>
        </w:rPr>
      </w:pPr>
    </w:p>
    <w:p w14:paraId="7A535C86" w14:textId="77777777" w:rsidR="00200FA7" w:rsidRDefault="00200FA7">
      <w:pPr>
        <w:jc w:val="both"/>
        <w:rPr>
          <w:b/>
        </w:rPr>
      </w:pPr>
    </w:p>
    <w:p w14:paraId="1A2B289C" w14:textId="77777777" w:rsidR="00200FA7" w:rsidRDefault="00200FA7">
      <w:pPr>
        <w:jc w:val="both"/>
        <w:rPr>
          <w:b/>
        </w:rPr>
      </w:pPr>
    </w:p>
    <w:p w14:paraId="331E0891" w14:textId="77777777" w:rsidR="00200FA7" w:rsidRDefault="00200FA7">
      <w:pPr>
        <w:jc w:val="both"/>
        <w:rPr>
          <w:b/>
        </w:rPr>
      </w:pPr>
    </w:p>
    <w:p w14:paraId="03B2B5E0" w14:textId="367B4BF7" w:rsidR="00225D33" w:rsidRDefault="00000000">
      <w:pPr>
        <w:jc w:val="both"/>
        <w:rPr>
          <w:b/>
        </w:rPr>
      </w:pPr>
      <w:r>
        <w:rPr>
          <w:b/>
        </w:rPr>
        <w:t>Mileage Reimbursement</w:t>
      </w:r>
    </w:p>
    <w:p w14:paraId="79F80386" w14:textId="394F4882" w:rsidR="00225D33" w:rsidRDefault="00000000">
      <w:pPr>
        <w:jc w:val="both"/>
      </w:pPr>
      <w:r>
        <w:t>Each year, [$</w:t>
      </w:r>
      <w:r w:rsidR="003449D1">
        <w:t>1,064</w:t>
      </w:r>
      <w:r>
        <w:t xml:space="preserve">] is requested </w:t>
      </w:r>
      <w:r w:rsidR="00067184">
        <w:t>to support</w:t>
      </w:r>
      <w:r>
        <w:t xml:space="preserve"> study staff travel from UCLA to recruitment sites, scanning locations, and local meetings with recruitment teams at UCLA and affiliated hospitals and clinics in the Greater Los Angeles area. Up to [1,468] miles reimbursed at the current federal rate of $</w:t>
      </w:r>
      <w:r w:rsidR="0016299B">
        <w:t>0</w:t>
      </w:r>
      <w:r>
        <w:t>.7</w:t>
      </w:r>
      <w:r w:rsidR="00100451">
        <w:t>25</w:t>
      </w:r>
      <w:r>
        <w:t xml:space="preserve"> per mile is anticipated annually. </w:t>
      </w:r>
    </w:p>
    <w:p w14:paraId="7B024480" w14:textId="4FD43450" w:rsidR="00225D33" w:rsidRDefault="00000000">
      <w:pPr>
        <w:jc w:val="both"/>
      </w:pPr>
      <w:r>
        <w:t xml:space="preserve"> </w:t>
      </w:r>
    </w:p>
    <w:p w14:paraId="47CBD826" w14:textId="77777777" w:rsidR="00200FA7" w:rsidRDefault="00200FA7">
      <w:pPr>
        <w:jc w:val="both"/>
      </w:pPr>
    </w:p>
    <w:p w14:paraId="210AD272" w14:textId="5B0E54B3" w:rsidR="00225D33" w:rsidRPr="00200FA7" w:rsidRDefault="00000000">
      <w:pPr>
        <w:jc w:val="both"/>
        <w:rPr>
          <w:u w:val="single"/>
        </w:rPr>
      </w:pPr>
      <w:r w:rsidRPr="00200FA7">
        <w:rPr>
          <w:i/>
          <w:u w:val="single"/>
        </w:rPr>
        <w:t>Su</w:t>
      </w:r>
      <w:r w:rsidR="00200FA7" w:rsidRPr="00200FA7">
        <w:rPr>
          <w:i/>
          <w:u w:val="single"/>
        </w:rPr>
        <w:t>b</w:t>
      </w:r>
      <w:r w:rsidRPr="00200FA7">
        <w:rPr>
          <w:i/>
          <w:u w:val="single"/>
        </w:rPr>
        <w:t>award Related Expense</w:t>
      </w:r>
    </w:p>
    <w:p w14:paraId="37382147" w14:textId="77777777" w:rsidR="00225D33" w:rsidRDefault="00225D33">
      <w:pPr>
        <w:jc w:val="both"/>
      </w:pPr>
    </w:p>
    <w:p w14:paraId="7F616DAA" w14:textId="77777777" w:rsidR="00225D33" w:rsidRDefault="00000000">
      <w:pPr>
        <w:jc w:val="both"/>
        <w:rPr>
          <w:b/>
        </w:rPr>
      </w:pPr>
      <w:r>
        <w:rPr>
          <w:b/>
        </w:rPr>
        <w:t>Subawards/Consortium/Contractual Costs</w:t>
      </w:r>
    </w:p>
    <w:p w14:paraId="57B920E5" w14:textId="77777777" w:rsidR="00225D33" w:rsidRDefault="00000000">
      <w:pPr>
        <w:jc w:val="both"/>
      </w:pPr>
      <w:r>
        <w:t>UCLA will issue a subaward in [Years 1-5] to [Emory University]. See below for a summary of annual costs.  Detailed budgets and budget justifications are provided herein.</w:t>
      </w:r>
    </w:p>
    <w:p w14:paraId="742FE10E" w14:textId="77777777" w:rsidR="00225D33" w:rsidRDefault="00000000">
      <w:pPr>
        <w:jc w:val="both"/>
      </w:pPr>
      <w:r>
        <w:t xml:space="preserve"> </w:t>
      </w:r>
    </w:p>
    <w:p w14:paraId="6BD9DD8E" w14:textId="77777777" w:rsidR="00225D33" w:rsidRDefault="00000000">
      <w:pPr>
        <w:jc w:val="both"/>
        <w:rPr>
          <w:b/>
        </w:rPr>
      </w:pPr>
      <w:r>
        <w:rPr>
          <w:b/>
        </w:rPr>
        <w:t>[University of Alabama]</w:t>
      </w:r>
    </w:p>
    <w:p w14:paraId="20157A03" w14:textId="77777777" w:rsidR="00225D33" w:rsidRDefault="00000000">
      <w:pPr>
        <w:jc w:val="both"/>
      </w:pPr>
      <w:r>
        <w:t>Year 1: 125,500 Direct Costs, $70,908 Indirect Costs = $196,408 Total Costs</w:t>
      </w:r>
    </w:p>
    <w:p w14:paraId="72F68E71" w14:textId="77777777" w:rsidR="00225D33" w:rsidRDefault="00000000">
      <w:pPr>
        <w:jc w:val="both"/>
      </w:pPr>
      <w:r>
        <w:t>Year 2: 115,939 Direct Costs, $65,506 Indirect Costs = $181,445 Total Costs</w:t>
      </w:r>
    </w:p>
    <w:p w14:paraId="77C37E95" w14:textId="77777777" w:rsidR="00225D33" w:rsidRDefault="00000000">
      <w:pPr>
        <w:jc w:val="both"/>
      </w:pPr>
      <w:r>
        <w:t>Year 3: 121,500 Direct Costs, $68,648 Indirect Costs = $190,148 Total Costs</w:t>
      </w:r>
    </w:p>
    <w:p w14:paraId="21DC0BF2" w14:textId="77777777" w:rsidR="00225D33" w:rsidRDefault="00000000">
      <w:pPr>
        <w:jc w:val="both"/>
      </w:pPr>
      <w:r>
        <w:t>Year 4: 121,500 Direct Costs, $68,648 Indirect Costs = $190,148 Total Costs</w:t>
      </w:r>
    </w:p>
    <w:p w14:paraId="11C31976" w14:textId="77777777" w:rsidR="00225D33" w:rsidRDefault="00000000">
      <w:pPr>
        <w:jc w:val="both"/>
      </w:pPr>
      <w:r>
        <w:t>Year 5: 125,500 Direct Costs, $70,908 Indirect Costs = $196,408 Total Costs]</w:t>
      </w:r>
    </w:p>
    <w:p w14:paraId="04B46F7B" w14:textId="77777777" w:rsidR="00225D33" w:rsidRDefault="00000000">
      <w:pPr>
        <w:jc w:val="both"/>
      </w:pPr>
      <w:r>
        <w:t xml:space="preserve"> </w:t>
      </w:r>
    </w:p>
    <w:p w14:paraId="19256A39" w14:textId="77777777" w:rsidR="00225D33" w:rsidRDefault="00225D33"/>
    <w:sectPr w:rsidR="00225D33">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3C17" w14:textId="77777777" w:rsidR="00240D38" w:rsidRDefault="00240D38">
      <w:pPr>
        <w:spacing w:line="240" w:lineRule="auto"/>
      </w:pPr>
      <w:r>
        <w:separator/>
      </w:r>
    </w:p>
  </w:endnote>
  <w:endnote w:type="continuationSeparator" w:id="0">
    <w:p w14:paraId="5C0C1B8C" w14:textId="77777777" w:rsidR="00240D38" w:rsidRDefault="00240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A09F" w14:textId="6825AD6C" w:rsidR="005D7950" w:rsidRDefault="00C4781A">
    <w:pPr>
      <w:pStyle w:val="Footer"/>
    </w:pPr>
    <w:r>
      <w:rPr>
        <w:noProof/>
        <w:lang w:eastAsia="zh-CN"/>
      </w:rPr>
      <mc:AlternateContent>
        <mc:Choice Requires="wpg">
          <w:drawing>
            <wp:anchor distT="0" distB="0" distL="114300" distR="114300" simplePos="0" relativeHeight="251659264" behindDoc="0" locked="0" layoutInCell="1" allowOverlap="1" wp14:anchorId="1D1DA0E2" wp14:editId="15DA376A">
              <wp:simplePos x="0" y="0"/>
              <wp:positionH relativeFrom="page">
                <wp:align>right</wp:align>
              </wp:positionH>
              <wp:positionV relativeFrom="bottomMargin">
                <wp:align>center</wp:align>
              </wp:positionV>
              <wp:extent cx="6172200" cy="274320"/>
              <wp:effectExtent l="0" t="0" r="0" b="0"/>
              <wp:wrapNone/>
              <wp:docPr id="164" name="Group 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BE627" w14:textId="7E42A011" w:rsidR="00C4781A" w:rsidRDefault="00000000">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C4781A">
                                  <w:rPr>
                                    <w:caps/>
                                    <w:color w:val="4F81BD" w:themeColor="accent1"/>
                                    <w:sz w:val="20"/>
                                    <w:szCs w:val="20"/>
                                  </w:rPr>
                                  <w:t>OROS Budget Justification glossary</w:t>
                                </w:r>
                              </w:sdtContent>
                            </w:sdt>
                            <w:r w:rsidR="00C4781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C4781A">
                                  <w:rPr>
                                    <w:color w:val="808080" w:themeColor="background1" w:themeShade="80"/>
                                    <w:sz w:val="20"/>
                                    <w:szCs w:val="20"/>
                                  </w:rPr>
                                  <w:t xml:space="preserve">Version </w:t>
                                </w:r>
                                <w:r w:rsidR="00724D6B">
                                  <w:rPr>
                                    <w:color w:val="808080" w:themeColor="background1" w:themeShade="80"/>
                                    <w:sz w:val="20"/>
                                    <w:szCs w:val="20"/>
                                  </w:rPr>
                                  <w:t>6</w:t>
                                </w:r>
                                <w:r w:rsidR="00C4781A">
                                  <w:rPr>
                                    <w:color w:val="808080" w:themeColor="background1" w:themeShade="80"/>
                                    <w:sz w:val="20"/>
                                    <w:szCs w:val="20"/>
                                  </w:rPr>
                                  <w:t>.</w:t>
                                </w:r>
                                <w:r w:rsidR="0098760E">
                                  <w:rPr>
                                    <w:color w:val="808080" w:themeColor="background1" w:themeShade="80"/>
                                    <w:sz w:val="20"/>
                                    <w:szCs w:val="20"/>
                                  </w:rPr>
                                  <w:t>1</w:t>
                                </w:r>
                                <w:r w:rsidR="00724D6B">
                                  <w:rPr>
                                    <w:color w:val="808080" w:themeColor="background1" w:themeShade="80"/>
                                    <w:sz w:val="20"/>
                                    <w:szCs w:val="20"/>
                                  </w:rPr>
                                  <w:t>0</w:t>
                                </w:r>
                                <w:r w:rsidR="00C4781A">
                                  <w:rPr>
                                    <w:color w:val="808080" w:themeColor="background1" w:themeShade="80"/>
                                    <w:sz w:val="20"/>
                                    <w:szCs w:val="20"/>
                                  </w:rPr>
                                  <w:t>.2</w:t>
                                </w:r>
                                <w:r w:rsidR="00100451">
                                  <w:rPr>
                                    <w:color w:val="808080" w:themeColor="background1" w:themeShade="80"/>
                                    <w:sz w:val="20"/>
                                    <w:szCs w:val="20"/>
                                  </w:rPr>
                                  <w:t>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D1DA0E2" id="Group 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86BE627" w14:textId="7E42A011" w:rsidR="00C4781A" w:rsidRDefault="00000000">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C4781A">
                            <w:rPr>
                              <w:caps/>
                              <w:color w:val="4F81BD" w:themeColor="accent1"/>
                              <w:sz w:val="20"/>
                              <w:szCs w:val="20"/>
                            </w:rPr>
                            <w:t>OROS Budget Justification glossary</w:t>
                          </w:r>
                        </w:sdtContent>
                      </w:sdt>
                      <w:r w:rsidR="00C4781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C4781A">
                            <w:rPr>
                              <w:color w:val="808080" w:themeColor="background1" w:themeShade="80"/>
                              <w:sz w:val="20"/>
                              <w:szCs w:val="20"/>
                            </w:rPr>
                            <w:t xml:space="preserve">Version </w:t>
                          </w:r>
                          <w:r w:rsidR="00724D6B">
                            <w:rPr>
                              <w:color w:val="808080" w:themeColor="background1" w:themeShade="80"/>
                              <w:sz w:val="20"/>
                              <w:szCs w:val="20"/>
                            </w:rPr>
                            <w:t>6</w:t>
                          </w:r>
                          <w:r w:rsidR="00C4781A">
                            <w:rPr>
                              <w:color w:val="808080" w:themeColor="background1" w:themeShade="80"/>
                              <w:sz w:val="20"/>
                              <w:szCs w:val="20"/>
                            </w:rPr>
                            <w:t>.</w:t>
                          </w:r>
                          <w:r w:rsidR="0098760E">
                            <w:rPr>
                              <w:color w:val="808080" w:themeColor="background1" w:themeShade="80"/>
                              <w:sz w:val="20"/>
                              <w:szCs w:val="20"/>
                            </w:rPr>
                            <w:t>1</w:t>
                          </w:r>
                          <w:r w:rsidR="00724D6B">
                            <w:rPr>
                              <w:color w:val="808080" w:themeColor="background1" w:themeShade="80"/>
                              <w:sz w:val="20"/>
                              <w:szCs w:val="20"/>
                            </w:rPr>
                            <w:t>0</w:t>
                          </w:r>
                          <w:r w:rsidR="00C4781A">
                            <w:rPr>
                              <w:color w:val="808080" w:themeColor="background1" w:themeShade="80"/>
                              <w:sz w:val="20"/>
                              <w:szCs w:val="20"/>
                            </w:rPr>
                            <w:t>.2</w:t>
                          </w:r>
                          <w:r w:rsidR="00100451">
                            <w:rPr>
                              <w:color w:val="808080" w:themeColor="background1" w:themeShade="80"/>
                              <w:sz w:val="20"/>
                              <w:szCs w:val="20"/>
                            </w:rPr>
                            <w:t>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5D1F" w14:textId="77777777" w:rsidR="00240D38" w:rsidRDefault="00240D38">
      <w:pPr>
        <w:spacing w:line="240" w:lineRule="auto"/>
      </w:pPr>
      <w:r>
        <w:separator/>
      </w:r>
    </w:p>
  </w:footnote>
  <w:footnote w:type="continuationSeparator" w:id="0">
    <w:p w14:paraId="6D5EC897" w14:textId="77777777" w:rsidR="00240D38" w:rsidRDefault="00240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80C2" w14:textId="483890E9" w:rsidR="00225D33" w:rsidRDefault="005D7950" w:rsidP="00C4781A">
    <w:pPr>
      <w:spacing w:line="360" w:lineRule="auto"/>
      <w:jc w:val="center"/>
      <w:rPr>
        <w:b/>
        <w:bCs/>
        <w:color w:val="0070C0"/>
        <w:sz w:val="24"/>
        <w:szCs w:val="24"/>
        <w:lang w:val="en-US"/>
      </w:rPr>
    </w:pPr>
    <w:r w:rsidRPr="005D7950">
      <w:rPr>
        <w:b/>
        <w:bCs/>
        <w:color w:val="0070C0"/>
        <w:sz w:val="24"/>
        <w:szCs w:val="24"/>
        <w:lang w:val="en-US"/>
      </w:rPr>
      <w:t>OROS BUDGET JUSTIFICATION GLOSSARY</w:t>
    </w:r>
  </w:p>
  <w:p w14:paraId="10ABC083" w14:textId="77777777" w:rsidR="005D7950" w:rsidRDefault="005D7950" w:rsidP="005D7950">
    <w:pPr>
      <w:jc w:val="center"/>
      <w:rPr>
        <w:i/>
        <w:iCs/>
        <w:color w:val="000000" w:themeColor="text1"/>
        <w:highlight w:val="yellow"/>
        <w:lang w:val="en-US"/>
      </w:rPr>
    </w:pPr>
    <w:r w:rsidRPr="005D7950">
      <w:rPr>
        <w:i/>
        <w:iCs/>
        <w:color w:val="000000" w:themeColor="text1"/>
        <w:highlight w:val="yellow"/>
        <w:lang w:val="en-US"/>
      </w:rPr>
      <w:t xml:space="preserve">Suggested language below and examples can be used for your budget justification document. Please delete, revise, and incorporate relevant details from your budget. </w:t>
    </w:r>
  </w:p>
  <w:p w14:paraId="78F46E98" w14:textId="3917348D" w:rsidR="005D7950" w:rsidRPr="005D7950" w:rsidRDefault="005D7950" w:rsidP="005D7950">
    <w:pPr>
      <w:jc w:val="center"/>
      <w:rPr>
        <w:i/>
        <w:iCs/>
        <w:color w:val="000000" w:themeColor="text1"/>
        <w:lang w:val="en-US"/>
      </w:rPr>
    </w:pPr>
    <w:r w:rsidRPr="005D7950">
      <w:rPr>
        <w:b/>
        <w:bCs/>
        <w:i/>
        <w:iCs/>
        <w:color w:val="000000" w:themeColor="text1"/>
        <w:highlight w:val="yellow"/>
        <w:lang w:val="en-US"/>
      </w:rPr>
      <w:t>Do</w:t>
    </w:r>
    <w:r>
      <w:rPr>
        <w:b/>
        <w:bCs/>
        <w:i/>
        <w:iCs/>
        <w:color w:val="000000" w:themeColor="text1"/>
        <w:highlight w:val="yellow"/>
        <w:lang w:val="en-US"/>
      </w:rPr>
      <w:t xml:space="preserve">n’t </w:t>
    </w:r>
    <w:r w:rsidRPr="005D7950">
      <w:rPr>
        <w:b/>
        <w:bCs/>
        <w:i/>
        <w:iCs/>
        <w:color w:val="000000" w:themeColor="text1"/>
        <w:highlight w:val="yellow"/>
        <w:lang w:val="en-US"/>
      </w:rPr>
      <w:t>just copy and paste</w:t>
    </w:r>
    <w:r>
      <w:rPr>
        <w:i/>
        <w:iCs/>
        <w:color w:val="000000" w:themeColor="text1"/>
        <w:highlight w:val="yellow"/>
        <w:lang w:val="en-US"/>
      </w:rPr>
      <w:t xml:space="preserve">! Make </w:t>
    </w:r>
    <w:r w:rsidRPr="005D7950">
      <w:rPr>
        <w:i/>
        <w:iCs/>
        <w:color w:val="000000" w:themeColor="text1"/>
        <w:highlight w:val="yellow"/>
        <w:lang w:val="en-US"/>
      </w:rPr>
      <w:t>sure it is accurate and in alignment with the opportunity requirement and sponsor-specific policy and procedure.</w:t>
    </w:r>
    <w:r w:rsidRPr="005D7950">
      <w:rPr>
        <w:i/>
        <w:iCs/>
        <w:color w:val="000000" w:themeColor="text1"/>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806"/>
    <w:multiLevelType w:val="multilevel"/>
    <w:tmpl w:val="60E81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106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33"/>
    <w:rsid w:val="00006463"/>
    <w:rsid w:val="0002437A"/>
    <w:rsid w:val="00066EF1"/>
    <w:rsid w:val="00067184"/>
    <w:rsid w:val="000E04FE"/>
    <w:rsid w:val="000E6504"/>
    <w:rsid w:val="00100451"/>
    <w:rsid w:val="0012403E"/>
    <w:rsid w:val="0016299B"/>
    <w:rsid w:val="00183DE3"/>
    <w:rsid w:val="00200FA7"/>
    <w:rsid w:val="0021031D"/>
    <w:rsid w:val="00225D33"/>
    <w:rsid w:val="00240D38"/>
    <w:rsid w:val="00342C04"/>
    <w:rsid w:val="00343A52"/>
    <w:rsid w:val="003449D1"/>
    <w:rsid w:val="00384781"/>
    <w:rsid w:val="00402B22"/>
    <w:rsid w:val="004352FE"/>
    <w:rsid w:val="00524967"/>
    <w:rsid w:val="00531BB6"/>
    <w:rsid w:val="0058423B"/>
    <w:rsid w:val="005D7950"/>
    <w:rsid w:val="006A7124"/>
    <w:rsid w:val="006C780B"/>
    <w:rsid w:val="006E40C4"/>
    <w:rsid w:val="00724D6B"/>
    <w:rsid w:val="00815BB0"/>
    <w:rsid w:val="00842774"/>
    <w:rsid w:val="008F0345"/>
    <w:rsid w:val="0098427F"/>
    <w:rsid w:val="0098760E"/>
    <w:rsid w:val="00997610"/>
    <w:rsid w:val="00A971D1"/>
    <w:rsid w:val="00B328D9"/>
    <w:rsid w:val="00C00B91"/>
    <w:rsid w:val="00C4781A"/>
    <w:rsid w:val="00CF6711"/>
    <w:rsid w:val="00D26B56"/>
    <w:rsid w:val="00D73B37"/>
    <w:rsid w:val="00E16CAD"/>
    <w:rsid w:val="00E63329"/>
    <w:rsid w:val="00F35E8F"/>
    <w:rsid w:val="00F83F90"/>
    <w:rsid w:val="00F94B2D"/>
    <w:rsid w:val="00FB7D36"/>
    <w:rsid w:val="00FE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242D"/>
  <w15:docId w15:val="{4F5B98C3-6868-F141-8D1D-19CF8D81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5D7950"/>
    <w:pPr>
      <w:tabs>
        <w:tab w:val="center" w:pos="4680"/>
        <w:tab w:val="right" w:pos="9360"/>
      </w:tabs>
      <w:spacing w:line="240" w:lineRule="auto"/>
    </w:pPr>
  </w:style>
  <w:style w:type="character" w:customStyle="1" w:styleId="HeaderChar">
    <w:name w:val="Header Char"/>
    <w:basedOn w:val="DefaultParagraphFont"/>
    <w:link w:val="Header"/>
    <w:uiPriority w:val="99"/>
    <w:rsid w:val="005D7950"/>
  </w:style>
  <w:style w:type="paragraph" w:styleId="Footer">
    <w:name w:val="footer"/>
    <w:basedOn w:val="Normal"/>
    <w:link w:val="FooterChar"/>
    <w:uiPriority w:val="99"/>
    <w:unhideWhenUsed/>
    <w:rsid w:val="005D7950"/>
    <w:pPr>
      <w:tabs>
        <w:tab w:val="center" w:pos="4680"/>
        <w:tab w:val="right" w:pos="9360"/>
      </w:tabs>
      <w:spacing w:line="240" w:lineRule="auto"/>
    </w:pPr>
  </w:style>
  <w:style w:type="character" w:customStyle="1" w:styleId="FooterChar">
    <w:name w:val="Footer Char"/>
    <w:basedOn w:val="DefaultParagraphFont"/>
    <w:link w:val="Footer"/>
    <w:uiPriority w:val="99"/>
    <w:rsid w:val="005D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policy/nihgps/html5/section_1/1.2_definition_of_term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ga.research.ucla.edu/facilities-and-administrativ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ravel.ucla.edu/policy-resources/reimbursement-allowances-mileage-meals" TargetMode="External"/><Relationship Id="rId4" Type="http://schemas.openxmlformats.org/officeDocument/2006/relationships/webSettings" Target="webSettings.xml"/><Relationship Id="rId9" Type="http://schemas.openxmlformats.org/officeDocument/2006/relationships/hyperlink" Target="https://grants.nih.gov/grants/policy/nihgps/html5/section_1/1.2_definition_of_term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OROS Budget Justification glossary</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OROS Budget Justification glossary</dc:title>
  <dc:subject>Version 6.10.26</dc:subject>
  <dc:creator>Sharinger, Judy</dc:creator>
  <cp:lastModifiedBy>Sharinger, Judy</cp:lastModifiedBy>
  <cp:revision>3</cp:revision>
  <cp:lastPrinted>2026-02-02T19:14:00Z</cp:lastPrinted>
  <dcterms:created xsi:type="dcterms:W3CDTF">2026-06-10T21:25:00Z</dcterms:created>
  <dcterms:modified xsi:type="dcterms:W3CDTF">2026-06-22T18:49:00Z</dcterms:modified>
</cp:coreProperties>
</file>