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E661E9" w14:textId="77777777" w:rsidR="00EF0D14" w:rsidRDefault="00000000">
      <w:pPr>
        <w:spacing w:after="40"/>
      </w:pPr>
      <w:r>
        <w:rPr>
          <w:color w:val="808080"/>
          <w:sz w:val="18"/>
          <w:szCs w:val="18"/>
        </w:rPr>
        <w:t>OROS Budget Justification Glossary</w:t>
      </w:r>
    </w:p>
    <w:p w14:paraId="6246F797" w14:textId="77777777" w:rsidR="00EF0D14" w:rsidRDefault="00000000">
      <w:pPr>
        <w:spacing w:after="40"/>
      </w:pPr>
      <w:r>
        <w:rPr>
          <w:b/>
          <w:bCs/>
          <w:color w:val="1F3864"/>
          <w:sz w:val="36"/>
          <w:szCs w:val="36"/>
        </w:rPr>
        <w:t>OROS BUDGET JUSTIFICATION GLOSSARY</w:t>
      </w:r>
    </w:p>
    <w:p w14:paraId="579554CA" w14:textId="77777777" w:rsidR="00EF0D14" w:rsidRDefault="00000000">
      <w:pPr>
        <w:spacing w:after="200"/>
      </w:pPr>
      <w:r>
        <w:rPr>
          <w:i/>
          <w:iCs/>
          <w:color w:val="2E74B5"/>
          <w:sz w:val="24"/>
          <w:szCs w:val="24"/>
        </w:rPr>
        <w:t>Suggested Language &amp; Examples for Budget Justification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D14" w14:paraId="27BCE527" w14:textId="77777777">
        <w:tblPrEx>
          <w:tblCellMar>
            <w:top w:w="0" w:type="dxa"/>
            <w:bottom w:w="0" w:type="dxa"/>
          </w:tblCellMar>
        </w:tblPrEx>
        <w:tc>
          <w:tcPr>
            <w:tcW w:w="9360" w:type="dxa"/>
            <w:tcBorders>
              <w:top w:val="single" w:sz="4" w:space="0" w:color="BFBFBF"/>
              <w:left w:val="single" w:sz="4" w:space="0" w:color="BFBFBF"/>
              <w:bottom w:val="single" w:sz="4" w:space="0" w:color="BFBFBF"/>
              <w:right w:val="single" w:sz="4" w:space="0" w:color="BFBFBF"/>
            </w:tcBorders>
            <w:shd w:val="clear" w:color="auto" w:fill="FBEAEA"/>
            <w:tcMar>
              <w:top w:w="120" w:type="dxa"/>
              <w:left w:w="160" w:type="dxa"/>
              <w:bottom w:w="120" w:type="dxa"/>
              <w:right w:w="160" w:type="dxa"/>
            </w:tcMar>
          </w:tcPr>
          <w:p w14:paraId="16E2A9AB" w14:textId="77777777" w:rsidR="00EF0D14" w:rsidRDefault="00000000">
            <w:pPr>
              <w:spacing w:after="100"/>
            </w:pPr>
            <w:r>
              <w:rPr>
                <w:b/>
                <w:bCs/>
                <w:color w:val="C00000"/>
              </w:rPr>
              <w:t>How to use this glossary</w:t>
            </w:r>
          </w:p>
          <w:p w14:paraId="1093C843" w14:textId="77777777" w:rsidR="00EF0D14" w:rsidRDefault="00000000">
            <w:pPr>
              <w:spacing w:after="100"/>
            </w:pPr>
            <w:r>
              <w:rPr>
                <w:b/>
                <w:bCs/>
              </w:rPr>
              <w:t xml:space="preserve">Don’t just copy and paste! </w:t>
            </w:r>
            <w:r>
              <w:t>Make sure the language is accurate and aligned with your proposal and the sponsor-specific policy and procedure.</w:t>
            </w:r>
          </w:p>
          <w:p w14:paraId="10765C3A" w14:textId="77777777" w:rsidR="00EF0D14" w:rsidRDefault="00000000">
            <w:r>
              <w:rPr>
                <w:i/>
                <w:iCs/>
              </w:rPr>
              <w:t>For non-federal proposals, see the dedicated section near the end of this document.</w:t>
            </w:r>
          </w:p>
        </w:tc>
      </w:tr>
    </w:tbl>
    <w:p w14:paraId="14AFD8F8" w14:textId="77777777" w:rsidR="00EF0D14" w:rsidRDefault="00EF0D14">
      <w:pPr>
        <w:spacing w:after="120"/>
      </w:pPr>
    </w:p>
    <w:p w14:paraId="392366BB" w14:textId="77777777" w:rsidR="00EF0D14" w:rsidRDefault="00000000">
      <w:pPr>
        <w:pStyle w:val="Heading1"/>
      </w:pPr>
      <w:bookmarkStart w:id="0" w:name="_Toc235178256"/>
      <w:r>
        <w:t>Table of Contents</w:t>
      </w:r>
      <w:bookmarkEnd w:id="0"/>
    </w:p>
    <w:sdt>
      <w:sdtPr>
        <w:alias w:val="Table of Contents"/>
        <w:id w:val="-1161775221"/>
      </w:sdtPr>
      <w:sdtContent>
        <w:p w14:paraId="1E28D619" w14:textId="77777777" w:rsidR="002A55CE" w:rsidRDefault="00000000">
          <w:pPr>
            <w:pStyle w:val="TOC1"/>
            <w:tabs>
              <w:tab w:val="right" w:leader="dot" w:pos="9350"/>
            </w:tabs>
            <w:rPr>
              <w:noProof/>
            </w:rPr>
          </w:pPr>
          <w:r>
            <w:fldChar w:fldCharType="begin"/>
          </w:r>
          <w:r>
            <w:instrText>TOC \h \o "1-3"</w:instrText>
          </w:r>
          <w:r>
            <w:fldChar w:fldCharType="separate"/>
          </w:r>
          <w:hyperlink w:anchor="_Toc235178256" w:history="1">
            <w:r w:rsidR="002A55CE" w:rsidRPr="00D770A7">
              <w:rPr>
                <w:rStyle w:val="Hyperlink"/>
                <w:noProof/>
              </w:rPr>
              <w:t>Table of Contents</w:t>
            </w:r>
            <w:r w:rsidR="002A55CE">
              <w:rPr>
                <w:noProof/>
              </w:rPr>
              <w:tab/>
            </w:r>
            <w:r w:rsidR="002A55CE">
              <w:rPr>
                <w:noProof/>
              </w:rPr>
              <w:fldChar w:fldCharType="begin"/>
            </w:r>
            <w:r w:rsidR="002A55CE">
              <w:rPr>
                <w:noProof/>
              </w:rPr>
              <w:instrText xml:space="preserve"> PAGEREF _Toc235178256 \h </w:instrText>
            </w:r>
            <w:r w:rsidR="002A55CE">
              <w:rPr>
                <w:noProof/>
              </w:rPr>
            </w:r>
            <w:r w:rsidR="002A55CE">
              <w:rPr>
                <w:noProof/>
              </w:rPr>
              <w:fldChar w:fldCharType="separate"/>
            </w:r>
            <w:r w:rsidR="002A55CE">
              <w:rPr>
                <w:noProof/>
              </w:rPr>
              <w:t>1</w:t>
            </w:r>
            <w:r w:rsidR="002A55CE">
              <w:rPr>
                <w:noProof/>
              </w:rPr>
              <w:fldChar w:fldCharType="end"/>
            </w:r>
          </w:hyperlink>
        </w:p>
        <w:p w14:paraId="1FAA3F79" w14:textId="77777777" w:rsidR="002A55CE" w:rsidRDefault="002A55CE">
          <w:pPr>
            <w:pStyle w:val="TOC1"/>
            <w:tabs>
              <w:tab w:val="right" w:leader="dot" w:pos="9350"/>
            </w:tabs>
            <w:rPr>
              <w:noProof/>
            </w:rPr>
          </w:pPr>
          <w:hyperlink w:anchor="_Toc235178257" w:history="1">
            <w:r w:rsidRPr="00D770A7">
              <w:rPr>
                <w:rStyle w:val="Hyperlink"/>
                <w:noProof/>
              </w:rPr>
              <w:t>1. Salary &amp; Fringe Benefits</w:t>
            </w:r>
            <w:r>
              <w:rPr>
                <w:noProof/>
              </w:rPr>
              <w:tab/>
            </w:r>
            <w:r>
              <w:rPr>
                <w:noProof/>
              </w:rPr>
              <w:fldChar w:fldCharType="begin"/>
            </w:r>
            <w:r>
              <w:rPr>
                <w:noProof/>
              </w:rPr>
              <w:instrText xml:space="preserve"> PAGEREF _Toc235178257 \h </w:instrText>
            </w:r>
            <w:r>
              <w:rPr>
                <w:noProof/>
              </w:rPr>
            </w:r>
            <w:r>
              <w:rPr>
                <w:noProof/>
              </w:rPr>
              <w:fldChar w:fldCharType="separate"/>
            </w:r>
            <w:r>
              <w:rPr>
                <w:noProof/>
              </w:rPr>
              <w:t>2</w:t>
            </w:r>
            <w:r>
              <w:rPr>
                <w:noProof/>
              </w:rPr>
              <w:fldChar w:fldCharType="end"/>
            </w:r>
          </w:hyperlink>
        </w:p>
        <w:p w14:paraId="6151B5E2" w14:textId="77777777" w:rsidR="002A55CE" w:rsidRDefault="002A55CE">
          <w:pPr>
            <w:pStyle w:val="TOC2"/>
            <w:tabs>
              <w:tab w:val="right" w:leader="dot" w:pos="9350"/>
            </w:tabs>
            <w:rPr>
              <w:noProof/>
            </w:rPr>
          </w:pPr>
          <w:hyperlink w:anchor="_Toc235178258" w:history="1">
            <w:r w:rsidRPr="00D770A7">
              <w:rPr>
                <w:rStyle w:val="Hyperlink"/>
                <w:noProof/>
              </w:rPr>
              <w:t>Hourly Rate Disclaimer</w:t>
            </w:r>
            <w:r>
              <w:rPr>
                <w:noProof/>
              </w:rPr>
              <w:tab/>
            </w:r>
            <w:r>
              <w:rPr>
                <w:noProof/>
              </w:rPr>
              <w:fldChar w:fldCharType="begin"/>
            </w:r>
            <w:r>
              <w:rPr>
                <w:noProof/>
              </w:rPr>
              <w:instrText xml:space="preserve"> PAGEREF _Toc235178258 \h </w:instrText>
            </w:r>
            <w:r>
              <w:rPr>
                <w:noProof/>
              </w:rPr>
            </w:r>
            <w:r>
              <w:rPr>
                <w:noProof/>
              </w:rPr>
              <w:fldChar w:fldCharType="separate"/>
            </w:r>
            <w:r>
              <w:rPr>
                <w:noProof/>
              </w:rPr>
              <w:t>2</w:t>
            </w:r>
            <w:r>
              <w:rPr>
                <w:noProof/>
              </w:rPr>
              <w:fldChar w:fldCharType="end"/>
            </w:r>
          </w:hyperlink>
        </w:p>
        <w:p w14:paraId="16BB9065" w14:textId="77777777" w:rsidR="002A55CE" w:rsidRDefault="002A55CE">
          <w:pPr>
            <w:pStyle w:val="TOC1"/>
            <w:tabs>
              <w:tab w:val="right" w:leader="dot" w:pos="9350"/>
            </w:tabs>
            <w:rPr>
              <w:noProof/>
            </w:rPr>
          </w:pPr>
          <w:hyperlink w:anchor="_Toc235178259" w:history="1">
            <w:r w:rsidRPr="00D770A7">
              <w:rPr>
                <w:rStyle w:val="Hyperlink"/>
                <w:noProof/>
              </w:rPr>
              <w:t>2. Indirect Costs (F&amp;A) Justification</w:t>
            </w:r>
            <w:r>
              <w:rPr>
                <w:noProof/>
              </w:rPr>
              <w:tab/>
            </w:r>
            <w:r>
              <w:rPr>
                <w:noProof/>
              </w:rPr>
              <w:fldChar w:fldCharType="begin"/>
            </w:r>
            <w:r>
              <w:rPr>
                <w:noProof/>
              </w:rPr>
              <w:instrText xml:space="preserve"> PAGEREF _Toc235178259 \h </w:instrText>
            </w:r>
            <w:r>
              <w:rPr>
                <w:noProof/>
              </w:rPr>
            </w:r>
            <w:r>
              <w:rPr>
                <w:noProof/>
              </w:rPr>
              <w:fldChar w:fldCharType="separate"/>
            </w:r>
            <w:r>
              <w:rPr>
                <w:noProof/>
              </w:rPr>
              <w:t>2</w:t>
            </w:r>
            <w:r>
              <w:rPr>
                <w:noProof/>
              </w:rPr>
              <w:fldChar w:fldCharType="end"/>
            </w:r>
          </w:hyperlink>
        </w:p>
        <w:p w14:paraId="349F3EBF" w14:textId="77777777" w:rsidR="002A55CE" w:rsidRDefault="002A55CE">
          <w:pPr>
            <w:pStyle w:val="TOC2"/>
            <w:tabs>
              <w:tab w:val="right" w:leader="dot" w:pos="9350"/>
            </w:tabs>
            <w:rPr>
              <w:noProof/>
            </w:rPr>
          </w:pPr>
          <w:hyperlink w:anchor="_Toc235178260" w:history="1">
            <w:r w:rsidRPr="00D770A7">
              <w:rPr>
                <w:rStyle w:val="Hyperlink"/>
                <w:noProof/>
              </w:rPr>
              <w:t>Per NIH Policy (MTDC Definition)</w:t>
            </w:r>
            <w:r>
              <w:rPr>
                <w:noProof/>
              </w:rPr>
              <w:tab/>
            </w:r>
            <w:r>
              <w:rPr>
                <w:noProof/>
              </w:rPr>
              <w:fldChar w:fldCharType="begin"/>
            </w:r>
            <w:r>
              <w:rPr>
                <w:noProof/>
              </w:rPr>
              <w:instrText xml:space="preserve"> PAGEREF _Toc235178260 \h </w:instrText>
            </w:r>
            <w:r>
              <w:rPr>
                <w:noProof/>
              </w:rPr>
            </w:r>
            <w:r>
              <w:rPr>
                <w:noProof/>
              </w:rPr>
              <w:fldChar w:fldCharType="separate"/>
            </w:r>
            <w:r>
              <w:rPr>
                <w:noProof/>
              </w:rPr>
              <w:t>2</w:t>
            </w:r>
            <w:r>
              <w:rPr>
                <w:noProof/>
              </w:rPr>
              <w:fldChar w:fldCharType="end"/>
            </w:r>
          </w:hyperlink>
        </w:p>
        <w:p w14:paraId="5C36E6DF" w14:textId="77777777" w:rsidR="002A55CE" w:rsidRDefault="002A55CE">
          <w:pPr>
            <w:pStyle w:val="TOC2"/>
            <w:tabs>
              <w:tab w:val="right" w:leader="dot" w:pos="9350"/>
            </w:tabs>
            <w:rPr>
              <w:noProof/>
            </w:rPr>
          </w:pPr>
          <w:hyperlink w:anchor="_Toc235178261" w:history="1">
            <w:r w:rsidRPr="00D770A7">
              <w:rPr>
                <w:rStyle w:val="Hyperlink"/>
                <w:noProof/>
              </w:rPr>
              <w:t>Choosing the Right Statement</w:t>
            </w:r>
            <w:r>
              <w:rPr>
                <w:noProof/>
              </w:rPr>
              <w:tab/>
            </w:r>
            <w:r>
              <w:rPr>
                <w:noProof/>
              </w:rPr>
              <w:fldChar w:fldCharType="begin"/>
            </w:r>
            <w:r>
              <w:rPr>
                <w:noProof/>
              </w:rPr>
              <w:instrText xml:space="preserve"> PAGEREF _Toc235178261 \h </w:instrText>
            </w:r>
            <w:r>
              <w:rPr>
                <w:noProof/>
              </w:rPr>
            </w:r>
            <w:r>
              <w:rPr>
                <w:noProof/>
              </w:rPr>
              <w:fldChar w:fldCharType="separate"/>
            </w:r>
            <w:r>
              <w:rPr>
                <w:noProof/>
              </w:rPr>
              <w:t>3</w:t>
            </w:r>
            <w:r>
              <w:rPr>
                <w:noProof/>
              </w:rPr>
              <w:fldChar w:fldCharType="end"/>
            </w:r>
          </w:hyperlink>
        </w:p>
        <w:p w14:paraId="4143EFC6" w14:textId="77777777" w:rsidR="002A55CE" w:rsidRDefault="002A55CE">
          <w:pPr>
            <w:pStyle w:val="TOC3"/>
            <w:tabs>
              <w:tab w:val="right" w:leader="dot" w:pos="9350"/>
            </w:tabs>
            <w:rPr>
              <w:noProof/>
            </w:rPr>
          </w:pPr>
          <w:hyperlink w:anchor="_Toc235178262" w:history="1">
            <w:r w:rsidRPr="00D770A7">
              <w:rPr>
                <w:rStyle w:val="Hyperlink"/>
                <w:noProof/>
              </w:rPr>
              <w:t>Modified Total Direct (MTDC) Justification — Example</w:t>
            </w:r>
            <w:r>
              <w:rPr>
                <w:noProof/>
              </w:rPr>
              <w:tab/>
            </w:r>
            <w:r>
              <w:rPr>
                <w:noProof/>
              </w:rPr>
              <w:fldChar w:fldCharType="begin"/>
            </w:r>
            <w:r>
              <w:rPr>
                <w:noProof/>
              </w:rPr>
              <w:instrText xml:space="preserve"> PAGEREF _Toc235178262 \h </w:instrText>
            </w:r>
            <w:r>
              <w:rPr>
                <w:noProof/>
              </w:rPr>
            </w:r>
            <w:r>
              <w:rPr>
                <w:noProof/>
              </w:rPr>
              <w:fldChar w:fldCharType="separate"/>
            </w:r>
            <w:r>
              <w:rPr>
                <w:noProof/>
              </w:rPr>
              <w:t>3</w:t>
            </w:r>
            <w:r>
              <w:rPr>
                <w:noProof/>
              </w:rPr>
              <w:fldChar w:fldCharType="end"/>
            </w:r>
          </w:hyperlink>
        </w:p>
        <w:p w14:paraId="665254F2" w14:textId="77777777" w:rsidR="002A55CE" w:rsidRDefault="002A55CE">
          <w:pPr>
            <w:pStyle w:val="TOC3"/>
            <w:tabs>
              <w:tab w:val="right" w:leader="dot" w:pos="9350"/>
            </w:tabs>
            <w:rPr>
              <w:noProof/>
            </w:rPr>
          </w:pPr>
          <w:hyperlink w:anchor="_Toc235178263" w:history="1">
            <w:r w:rsidRPr="00D770A7">
              <w:rPr>
                <w:rStyle w:val="Hyperlink"/>
                <w:noProof/>
              </w:rPr>
              <w:t>Exclusions Language</w:t>
            </w:r>
            <w:r>
              <w:rPr>
                <w:noProof/>
              </w:rPr>
              <w:tab/>
            </w:r>
            <w:r>
              <w:rPr>
                <w:noProof/>
              </w:rPr>
              <w:fldChar w:fldCharType="begin"/>
            </w:r>
            <w:r>
              <w:rPr>
                <w:noProof/>
              </w:rPr>
              <w:instrText xml:space="preserve"> PAGEREF _Toc235178263 \h </w:instrText>
            </w:r>
            <w:r>
              <w:rPr>
                <w:noProof/>
              </w:rPr>
            </w:r>
            <w:r>
              <w:rPr>
                <w:noProof/>
              </w:rPr>
              <w:fldChar w:fldCharType="separate"/>
            </w:r>
            <w:r>
              <w:rPr>
                <w:noProof/>
              </w:rPr>
              <w:t>3</w:t>
            </w:r>
            <w:r>
              <w:rPr>
                <w:noProof/>
              </w:rPr>
              <w:fldChar w:fldCharType="end"/>
            </w:r>
          </w:hyperlink>
        </w:p>
        <w:p w14:paraId="7F91B5D5" w14:textId="77777777" w:rsidR="002A55CE" w:rsidRDefault="002A55CE">
          <w:pPr>
            <w:pStyle w:val="TOC3"/>
            <w:tabs>
              <w:tab w:val="right" w:leader="dot" w:pos="9350"/>
            </w:tabs>
            <w:rPr>
              <w:noProof/>
            </w:rPr>
          </w:pPr>
          <w:hyperlink w:anchor="_Toc235178264" w:history="1">
            <w:r w:rsidRPr="00D770A7">
              <w:rPr>
                <w:rStyle w:val="Hyperlink"/>
                <w:noProof/>
              </w:rPr>
              <w:t>Example: Excluding Equipment, GSR Fee Remission &amp; Subaward Costs</w:t>
            </w:r>
            <w:r>
              <w:rPr>
                <w:noProof/>
              </w:rPr>
              <w:tab/>
            </w:r>
            <w:r>
              <w:rPr>
                <w:noProof/>
              </w:rPr>
              <w:fldChar w:fldCharType="begin"/>
            </w:r>
            <w:r>
              <w:rPr>
                <w:noProof/>
              </w:rPr>
              <w:instrText xml:space="preserve"> PAGEREF _Toc235178264 \h </w:instrText>
            </w:r>
            <w:r>
              <w:rPr>
                <w:noProof/>
              </w:rPr>
            </w:r>
            <w:r>
              <w:rPr>
                <w:noProof/>
              </w:rPr>
              <w:fldChar w:fldCharType="separate"/>
            </w:r>
            <w:r>
              <w:rPr>
                <w:noProof/>
              </w:rPr>
              <w:t>3</w:t>
            </w:r>
            <w:r>
              <w:rPr>
                <w:noProof/>
              </w:rPr>
              <w:fldChar w:fldCharType="end"/>
            </w:r>
          </w:hyperlink>
        </w:p>
        <w:p w14:paraId="13F99821" w14:textId="77777777" w:rsidR="002A55CE" w:rsidRDefault="002A55CE">
          <w:pPr>
            <w:pStyle w:val="TOC3"/>
            <w:tabs>
              <w:tab w:val="right" w:leader="dot" w:pos="9350"/>
            </w:tabs>
            <w:rPr>
              <w:noProof/>
            </w:rPr>
          </w:pPr>
          <w:hyperlink w:anchor="_Toc235178265" w:history="1">
            <w:r w:rsidRPr="00D770A7">
              <w:rPr>
                <w:rStyle w:val="Hyperlink"/>
                <w:noProof/>
              </w:rPr>
              <w:t>Lower IDC Rate &amp; Vital-Interest IDC Exception</w:t>
            </w:r>
            <w:r>
              <w:rPr>
                <w:noProof/>
              </w:rPr>
              <w:tab/>
            </w:r>
            <w:r>
              <w:rPr>
                <w:noProof/>
              </w:rPr>
              <w:fldChar w:fldCharType="begin"/>
            </w:r>
            <w:r>
              <w:rPr>
                <w:noProof/>
              </w:rPr>
              <w:instrText xml:space="preserve"> PAGEREF _Toc235178265 \h </w:instrText>
            </w:r>
            <w:r>
              <w:rPr>
                <w:noProof/>
              </w:rPr>
            </w:r>
            <w:r>
              <w:rPr>
                <w:noProof/>
              </w:rPr>
              <w:fldChar w:fldCharType="separate"/>
            </w:r>
            <w:r>
              <w:rPr>
                <w:noProof/>
              </w:rPr>
              <w:t>3</w:t>
            </w:r>
            <w:r>
              <w:rPr>
                <w:noProof/>
              </w:rPr>
              <w:fldChar w:fldCharType="end"/>
            </w:r>
          </w:hyperlink>
        </w:p>
        <w:p w14:paraId="694DE51B" w14:textId="77777777" w:rsidR="002A55CE" w:rsidRDefault="002A55CE">
          <w:pPr>
            <w:pStyle w:val="TOC1"/>
            <w:tabs>
              <w:tab w:val="right" w:leader="dot" w:pos="9350"/>
            </w:tabs>
            <w:rPr>
              <w:noProof/>
            </w:rPr>
          </w:pPr>
          <w:hyperlink w:anchor="_Toc235178266" w:history="1">
            <w:r w:rsidRPr="00D770A7">
              <w:rPr>
                <w:rStyle w:val="Hyperlink"/>
                <w:noProof/>
              </w:rPr>
              <w:t>3. Descriptive Language for Other Related Costs</w:t>
            </w:r>
            <w:r>
              <w:rPr>
                <w:noProof/>
              </w:rPr>
              <w:tab/>
            </w:r>
            <w:r>
              <w:rPr>
                <w:noProof/>
              </w:rPr>
              <w:fldChar w:fldCharType="begin"/>
            </w:r>
            <w:r>
              <w:rPr>
                <w:noProof/>
              </w:rPr>
              <w:instrText xml:space="preserve"> PAGEREF _Toc235178266 \h </w:instrText>
            </w:r>
            <w:r>
              <w:rPr>
                <w:noProof/>
              </w:rPr>
            </w:r>
            <w:r>
              <w:rPr>
                <w:noProof/>
              </w:rPr>
              <w:fldChar w:fldCharType="separate"/>
            </w:r>
            <w:r>
              <w:rPr>
                <w:noProof/>
              </w:rPr>
              <w:t>4</w:t>
            </w:r>
            <w:r>
              <w:rPr>
                <w:noProof/>
              </w:rPr>
              <w:fldChar w:fldCharType="end"/>
            </w:r>
          </w:hyperlink>
        </w:p>
        <w:p w14:paraId="6C5B22B5" w14:textId="77777777" w:rsidR="002A55CE" w:rsidRDefault="002A55CE">
          <w:pPr>
            <w:pStyle w:val="TOC2"/>
            <w:tabs>
              <w:tab w:val="right" w:leader="dot" w:pos="9350"/>
            </w:tabs>
            <w:rPr>
              <w:noProof/>
            </w:rPr>
          </w:pPr>
          <w:hyperlink w:anchor="_Toc235178267" w:history="1">
            <w:r w:rsidRPr="00D770A7">
              <w:rPr>
                <w:rStyle w:val="Hyperlink"/>
                <w:noProof/>
              </w:rPr>
              <w:t>Personnel Costs</w:t>
            </w:r>
            <w:r>
              <w:rPr>
                <w:noProof/>
              </w:rPr>
              <w:tab/>
            </w:r>
            <w:r>
              <w:rPr>
                <w:noProof/>
              </w:rPr>
              <w:fldChar w:fldCharType="begin"/>
            </w:r>
            <w:r>
              <w:rPr>
                <w:noProof/>
              </w:rPr>
              <w:instrText xml:space="preserve"> PAGEREF _Toc235178267 \h </w:instrText>
            </w:r>
            <w:r>
              <w:rPr>
                <w:noProof/>
              </w:rPr>
            </w:r>
            <w:r>
              <w:rPr>
                <w:noProof/>
              </w:rPr>
              <w:fldChar w:fldCharType="separate"/>
            </w:r>
            <w:r>
              <w:rPr>
                <w:noProof/>
              </w:rPr>
              <w:t>4</w:t>
            </w:r>
            <w:r>
              <w:rPr>
                <w:noProof/>
              </w:rPr>
              <w:fldChar w:fldCharType="end"/>
            </w:r>
          </w:hyperlink>
        </w:p>
        <w:p w14:paraId="7F4F7B27" w14:textId="77777777" w:rsidR="002A55CE" w:rsidRDefault="002A55CE">
          <w:pPr>
            <w:pStyle w:val="TOC2"/>
            <w:tabs>
              <w:tab w:val="right" w:leader="dot" w:pos="9350"/>
            </w:tabs>
            <w:rPr>
              <w:noProof/>
            </w:rPr>
          </w:pPr>
          <w:hyperlink w:anchor="_Toc235178268" w:history="1">
            <w:r w:rsidRPr="00D770A7">
              <w:rPr>
                <w:rStyle w:val="Hyperlink"/>
                <w:noProof/>
              </w:rPr>
              <w:t>VA–UCLA Joint Appointees</w:t>
            </w:r>
            <w:r>
              <w:rPr>
                <w:noProof/>
              </w:rPr>
              <w:tab/>
            </w:r>
            <w:r>
              <w:rPr>
                <w:noProof/>
              </w:rPr>
              <w:fldChar w:fldCharType="begin"/>
            </w:r>
            <w:r>
              <w:rPr>
                <w:noProof/>
              </w:rPr>
              <w:instrText xml:space="preserve"> PAGEREF _Toc235178268 \h </w:instrText>
            </w:r>
            <w:r>
              <w:rPr>
                <w:noProof/>
              </w:rPr>
            </w:r>
            <w:r>
              <w:rPr>
                <w:noProof/>
              </w:rPr>
              <w:fldChar w:fldCharType="separate"/>
            </w:r>
            <w:r>
              <w:rPr>
                <w:noProof/>
              </w:rPr>
              <w:t>4</w:t>
            </w:r>
            <w:r>
              <w:rPr>
                <w:noProof/>
              </w:rPr>
              <w:fldChar w:fldCharType="end"/>
            </w:r>
          </w:hyperlink>
        </w:p>
        <w:p w14:paraId="27347BAF" w14:textId="77777777" w:rsidR="002A55CE" w:rsidRDefault="002A55CE">
          <w:pPr>
            <w:pStyle w:val="TOC2"/>
            <w:tabs>
              <w:tab w:val="right" w:leader="dot" w:pos="9350"/>
            </w:tabs>
            <w:rPr>
              <w:noProof/>
            </w:rPr>
          </w:pPr>
          <w:hyperlink w:anchor="_Toc235178269" w:history="1">
            <w:r w:rsidRPr="00D770A7">
              <w:rPr>
                <w:rStyle w:val="Hyperlink"/>
                <w:noProof/>
              </w:rPr>
              <w:t>Tuition &amp; Fees</w:t>
            </w:r>
            <w:r>
              <w:rPr>
                <w:noProof/>
              </w:rPr>
              <w:tab/>
            </w:r>
            <w:r>
              <w:rPr>
                <w:noProof/>
              </w:rPr>
              <w:fldChar w:fldCharType="begin"/>
            </w:r>
            <w:r>
              <w:rPr>
                <w:noProof/>
              </w:rPr>
              <w:instrText xml:space="preserve"> PAGEREF _Toc235178269 \h </w:instrText>
            </w:r>
            <w:r>
              <w:rPr>
                <w:noProof/>
              </w:rPr>
            </w:r>
            <w:r>
              <w:rPr>
                <w:noProof/>
              </w:rPr>
              <w:fldChar w:fldCharType="separate"/>
            </w:r>
            <w:r>
              <w:rPr>
                <w:noProof/>
              </w:rPr>
              <w:t>4</w:t>
            </w:r>
            <w:r>
              <w:rPr>
                <w:noProof/>
              </w:rPr>
              <w:fldChar w:fldCharType="end"/>
            </w:r>
          </w:hyperlink>
        </w:p>
        <w:p w14:paraId="2379AD6F" w14:textId="77777777" w:rsidR="002A55CE" w:rsidRDefault="002A55CE">
          <w:pPr>
            <w:pStyle w:val="TOC2"/>
            <w:tabs>
              <w:tab w:val="right" w:leader="dot" w:pos="9350"/>
            </w:tabs>
            <w:rPr>
              <w:noProof/>
            </w:rPr>
          </w:pPr>
          <w:hyperlink w:anchor="_Toc235178270" w:history="1">
            <w:r w:rsidRPr="00D770A7">
              <w:rPr>
                <w:rStyle w:val="Hyperlink"/>
                <w:noProof/>
              </w:rPr>
              <w:t>UCLA Technology Infrastructure Fee (TIF)</w:t>
            </w:r>
            <w:r>
              <w:rPr>
                <w:noProof/>
              </w:rPr>
              <w:tab/>
            </w:r>
            <w:r>
              <w:rPr>
                <w:noProof/>
              </w:rPr>
              <w:fldChar w:fldCharType="begin"/>
            </w:r>
            <w:r>
              <w:rPr>
                <w:noProof/>
              </w:rPr>
              <w:instrText xml:space="preserve"> PAGEREF _Toc235178270 \h </w:instrText>
            </w:r>
            <w:r>
              <w:rPr>
                <w:noProof/>
              </w:rPr>
            </w:r>
            <w:r>
              <w:rPr>
                <w:noProof/>
              </w:rPr>
              <w:fldChar w:fldCharType="separate"/>
            </w:r>
            <w:r>
              <w:rPr>
                <w:noProof/>
              </w:rPr>
              <w:t>4</w:t>
            </w:r>
            <w:r>
              <w:rPr>
                <w:noProof/>
              </w:rPr>
              <w:fldChar w:fldCharType="end"/>
            </w:r>
          </w:hyperlink>
        </w:p>
        <w:p w14:paraId="0DFF5265" w14:textId="77777777" w:rsidR="002A55CE" w:rsidRDefault="002A55CE">
          <w:pPr>
            <w:pStyle w:val="TOC2"/>
            <w:tabs>
              <w:tab w:val="right" w:leader="dot" w:pos="9350"/>
            </w:tabs>
            <w:rPr>
              <w:noProof/>
            </w:rPr>
          </w:pPr>
          <w:hyperlink w:anchor="_Toc235178271" w:history="1">
            <w:r w:rsidRPr="00D770A7">
              <w:rPr>
                <w:rStyle w:val="Hyperlink"/>
                <w:noProof/>
              </w:rPr>
              <w:t>Travel — Domestic &amp; International</w:t>
            </w:r>
            <w:r>
              <w:rPr>
                <w:noProof/>
              </w:rPr>
              <w:tab/>
            </w:r>
            <w:r>
              <w:rPr>
                <w:noProof/>
              </w:rPr>
              <w:fldChar w:fldCharType="begin"/>
            </w:r>
            <w:r>
              <w:rPr>
                <w:noProof/>
              </w:rPr>
              <w:instrText xml:space="preserve"> PAGEREF _Toc235178271 \h </w:instrText>
            </w:r>
            <w:r>
              <w:rPr>
                <w:noProof/>
              </w:rPr>
            </w:r>
            <w:r>
              <w:rPr>
                <w:noProof/>
              </w:rPr>
              <w:fldChar w:fldCharType="separate"/>
            </w:r>
            <w:r>
              <w:rPr>
                <w:noProof/>
              </w:rPr>
              <w:t>5</w:t>
            </w:r>
            <w:r>
              <w:rPr>
                <w:noProof/>
              </w:rPr>
              <w:fldChar w:fldCharType="end"/>
            </w:r>
          </w:hyperlink>
        </w:p>
        <w:p w14:paraId="1708A2B8" w14:textId="77777777" w:rsidR="002A55CE" w:rsidRDefault="002A55CE">
          <w:pPr>
            <w:pStyle w:val="TOC2"/>
            <w:tabs>
              <w:tab w:val="right" w:leader="dot" w:pos="9350"/>
            </w:tabs>
            <w:rPr>
              <w:noProof/>
            </w:rPr>
          </w:pPr>
          <w:hyperlink w:anchor="_Toc235178272" w:history="1">
            <w:r w:rsidRPr="00D770A7">
              <w:rPr>
                <w:rStyle w:val="Hyperlink"/>
                <w:noProof/>
              </w:rPr>
              <w:t>Subaward-Related Expense</w:t>
            </w:r>
            <w:r>
              <w:rPr>
                <w:noProof/>
              </w:rPr>
              <w:tab/>
            </w:r>
            <w:r>
              <w:rPr>
                <w:noProof/>
              </w:rPr>
              <w:fldChar w:fldCharType="begin"/>
            </w:r>
            <w:r>
              <w:rPr>
                <w:noProof/>
              </w:rPr>
              <w:instrText xml:space="preserve"> PAGEREF _Toc235178272 \h </w:instrText>
            </w:r>
            <w:r>
              <w:rPr>
                <w:noProof/>
              </w:rPr>
            </w:r>
            <w:r>
              <w:rPr>
                <w:noProof/>
              </w:rPr>
              <w:fldChar w:fldCharType="separate"/>
            </w:r>
            <w:r>
              <w:rPr>
                <w:noProof/>
              </w:rPr>
              <w:t>5</w:t>
            </w:r>
            <w:r>
              <w:rPr>
                <w:noProof/>
              </w:rPr>
              <w:fldChar w:fldCharType="end"/>
            </w:r>
          </w:hyperlink>
        </w:p>
        <w:p w14:paraId="41571EE5" w14:textId="77777777" w:rsidR="002A55CE" w:rsidRDefault="002A55CE">
          <w:pPr>
            <w:pStyle w:val="TOC1"/>
            <w:tabs>
              <w:tab w:val="right" w:leader="dot" w:pos="9350"/>
            </w:tabs>
            <w:rPr>
              <w:noProof/>
            </w:rPr>
          </w:pPr>
          <w:hyperlink w:anchor="_Toc235178273" w:history="1">
            <w:r w:rsidRPr="00D770A7">
              <w:rPr>
                <w:rStyle w:val="Hyperlink"/>
                <w:noProof/>
              </w:rPr>
              <w:t>4. Language for Non-Federal Proposals</w:t>
            </w:r>
            <w:r>
              <w:rPr>
                <w:noProof/>
              </w:rPr>
              <w:tab/>
            </w:r>
            <w:r>
              <w:rPr>
                <w:noProof/>
              </w:rPr>
              <w:fldChar w:fldCharType="begin"/>
            </w:r>
            <w:r>
              <w:rPr>
                <w:noProof/>
              </w:rPr>
              <w:instrText xml:space="preserve"> PAGEREF _Toc235178273 \h </w:instrText>
            </w:r>
            <w:r>
              <w:rPr>
                <w:noProof/>
              </w:rPr>
            </w:r>
            <w:r>
              <w:rPr>
                <w:noProof/>
              </w:rPr>
              <w:fldChar w:fldCharType="separate"/>
            </w:r>
            <w:r>
              <w:rPr>
                <w:noProof/>
              </w:rPr>
              <w:t>5</w:t>
            </w:r>
            <w:r>
              <w:rPr>
                <w:noProof/>
              </w:rPr>
              <w:fldChar w:fldCharType="end"/>
            </w:r>
          </w:hyperlink>
        </w:p>
        <w:p w14:paraId="46491DEB" w14:textId="77777777" w:rsidR="00EF0D14" w:rsidRDefault="00000000">
          <w:r>
            <w:fldChar w:fldCharType="end"/>
          </w:r>
        </w:p>
      </w:sdtContent>
    </w:sdt>
    <w:p w14:paraId="7E0D9B55" w14:textId="77777777" w:rsidR="00EF0D14" w:rsidRDefault="00EF0D14">
      <w:pPr>
        <w:pageBreakBefore/>
      </w:pPr>
    </w:p>
    <w:p w14:paraId="6B0CF959" w14:textId="77777777" w:rsidR="00EF0D14" w:rsidRDefault="00000000">
      <w:pPr>
        <w:pStyle w:val="Heading1"/>
      </w:pPr>
      <w:bookmarkStart w:id="1" w:name="_Toc235178257"/>
      <w:r>
        <w:t>1. Salary &amp; Fringe Benefits</w:t>
      </w:r>
      <w:bookmarkEnd w:id="1"/>
    </w:p>
    <w:p w14:paraId="6BC6B3B4" w14:textId="6C07241A" w:rsidR="00EF0D14" w:rsidRDefault="00000000">
      <w:pPr>
        <w:spacing w:after="120"/>
      </w:pPr>
      <w:r>
        <w:rPr>
          <w:b/>
          <w:bCs/>
          <w:color w:val="1F3864"/>
        </w:rPr>
        <w:t xml:space="preserve">Fringe Benefits Statement:  </w:t>
      </w:r>
      <w:r>
        <w:t xml:space="preserve">UCLA employer-based fringe benefits include costs such as retirement, FICA and Medicare taxes, and medical, dental, and vision expenses. They are assessed as a percentage of employee salary using Composite Benefit Rates (CBR). A CBR is the average cost of benefits for an employee group, where groups are defined by attributes such as benefit eligibility, employee class, exempt/non-exempt status, and job code. The CBR rates applied herein have been </w:t>
      </w:r>
      <w:r w:rsidR="002A55CE">
        <w:t>approved by</w:t>
      </w:r>
      <w:r>
        <w:t xml:space="preserve"> DHHS for FY26–27.</w:t>
      </w:r>
    </w:p>
    <w:p w14:paraId="40E901A4" w14:textId="77777777" w:rsidR="00EF0D14" w:rsidRDefault="00000000">
      <w:pPr>
        <w:spacing w:after="120"/>
      </w:pPr>
      <w:r>
        <w:rPr>
          <w:b/>
          <w:bCs/>
          <w:color w:val="1F3864"/>
        </w:rPr>
        <w:t xml:space="preserve">Salary Statement:  </w:t>
      </w:r>
      <w:r>
        <w:t>Pursuant to University of California (UC) policy, salaries in the initial budget period are based on current published UC salary scales and include University-mandated merit increases and range adjustments scheduled to occur before the proposed project start date — except for individuals with salaries exceeding the NIH salary cap at the time of the project start date. The current NIH salary cap of $228,000 is used for all years for [Dr. X]. Should the NIH salary cap increase over the course of this grant, we request appropriate additional funding.</w:t>
      </w:r>
    </w:p>
    <w:p w14:paraId="45F0D728" w14:textId="77777777" w:rsidR="00EF0D14" w:rsidRDefault="00000000">
      <w:pPr>
        <w:pStyle w:val="Heading2"/>
      </w:pPr>
      <w:bookmarkStart w:id="2" w:name="_Toc235178258"/>
      <w:r>
        <w:t>Hourly Rate Disclaimer</w:t>
      </w:r>
      <w:bookmarkEnd w:id="2"/>
    </w:p>
    <w:p w14:paraId="437AE68F" w14:textId="77777777" w:rsidR="00EF0D14" w:rsidRDefault="00000000">
      <w:pPr>
        <w:spacing w:after="120"/>
      </w:pPr>
      <w:r>
        <w:t>Include the following disclaimer in proposal documents or budget justifications when a sponsor requests hourly rate information for personnel effort. It clarifies that UCLA does not calculate or report salary based on hours worked, but instead on percent effort, in accordance with federal regulations. Any hourly rate or labor-hour figures provided are for estimation purposes only and do not reflect the University’s actual compensation or billing practices.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D14" w14:paraId="0D09A1C9" w14:textId="77777777">
        <w:tblPrEx>
          <w:tblCellMar>
            <w:top w:w="0" w:type="dxa"/>
            <w:bottom w:w="0" w:type="dxa"/>
          </w:tblCellMar>
        </w:tblPrEx>
        <w:tc>
          <w:tcPr>
            <w:tcW w:w="9360" w:type="dxa"/>
            <w:tcBorders>
              <w:top w:val="single" w:sz="4" w:space="0" w:color="BFBFBF"/>
              <w:left w:val="single" w:sz="4" w:space="0" w:color="BFBFBF"/>
              <w:bottom w:val="single" w:sz="4" w:space="0" w:color="BFBFBF"/>
              <w:right w:val="single" w:sz="4" w:space="0" w:color="BFBFBF"/>
            </w:tcBorders>
            <w:shd w:val="clear" w:color="auto" w:fill="F2F6FB"/>
            <w:tcMar>
              <w:top w:w="120" w:type="dxa"/>
              <w:left w:w="160" w:type="dxa"/>
              <w:bottom w:w="120" w:type="dxa"/>
              <w:right w:w="160" w:type="dxa"/>
            </w:tcMar>
          </w:tcPr>
          <w:p w14:paraId="5CEBCB4C" w14:textId="77777777" w:rsidR="00EF0D14" w:rsidRDefault="00000000">
            <w:pPr>
              <w:spacing w:after="100"/>
            </w:pPr>
            <w:r>
              <w:rPr>
                <w:i/>
                <w:iCs/>
              </w:rPr>
              <w:t>Julia Zhu (OCGA) approved version:</w:t>
            </w:r>
          </w:p>
          <w:p w14:paraId="5CE30A29" w14:textId="77777777" w:rsidR="00EF0D14" w:rsidRDefault="00000000">
            <w:r>
              <w:rPr>
                <w:i/>
                <w:iCs/>
              </w:rPr>
              <w:t>“The individuals included in this proposal are appointed to Full-Time Effort (FTE) positions and appointments on externally sponsored projects are a percentage of that full-time effort. The University of California does not pay these employees based on labor hours but rather by percent effort. Budgetary figures based on hours and or hourly rates are inconsistent with the University’s practices and are provided for estimating purposes only. Furthermore, the University will not bill by hours but rather by percent effort. The University’s effort reporting and invoicing are consistent with the percent of effort process outlined in Section J.10.c of 2 CFR 200.”</w:t>
            </w:r>
          </w:p>
        </w:tc>
      </w:tr>
    </w:tbl>
    <w:p w14:paraId="45905C28" w14:textId="77777777" w:rsidR="00EF0D14" w:rsidRDefault="00000000">
      <w:pPr>
        <w:pStyle w:val="Heading1"/>
      </w:pPr>
      <w:bookmarkStart w:id="3" w:name="_Toc235178259"/>
      <w:r>
        <w:t>2. Indirect Costs (F&amp;A) Justification</w:t>
      </w:r>
      <w:bookmarkEnd w:id="3"/>
    </w:p>
    <w:p w14:paraId="4E2C56F4" w14:textId="77777777" w:rsidR="00EF0D14" w:rsidRDefault="00000000">
      <w:pPr>
        <w:spacing w:after="120"/>
      </w:pPr>
      <w:r>
        <w:t xml:space="preserve">A justification for the indirect cost rate applied must be included in most budget justification documents. Note the indirect cost rate </w:t>
      </w:r>
      <w:r>
        <w:rPr>
          <w:i/>
          <w:iCs/>
        </w:rPr>
        <w:t>type</w:t>
      </w:r>
      <w:r>
        <w:t xml:space="preserve"> (MTDC, TDC, etc.) and the applicable research type (on-campus, off-campus, instructional) used to assess IDC. Reference: </w:t>
      </w:r>
      <w:hyperlink r:id="rId7" w:history="1">
        <w:r>
          <w:rPr>
            <w:rStyle w:val="Hyperlink"/>
          </w:rPr>
          <w:t>UCLA Facilities and Administrative Costs (F&amp;A)</w:t>
        </w:r>
      </w:hyperlink>
      <w:r>
        <w:t>.</w:t>
      </w:r>
    </w:p>
    <w:p w14:paraId="1610A21D" w14:textId="77777777" w:rsidR="00EF0D14" w:rsidRDefault="00000000">
      <w:pPr>
        <w:pStyle w:val="Heading2"/>
      </w:pPr>
      <w:bookmarkStart w:id="4" w:name="_Toc235178260"/>
      <w:r>
        <w:t>Per NIH Policy (MTDC Definition)</w:t>
      </w:r>
      <w:bookmarkEnd w:id="4"/>
    </w:p>
    <w:p w14:paraId="1727F35A" w14:textId="77777777" w:rsidR="00EF0D14" w:rsidRDefault="00000000">
      <w:pPr>
        <w:spacing w:after="120"/>
      </w:pPr>
      <w:r>
        <w:rPr>
          <w:i/>
          <w:iCs/>
        </w:rPr>
        <w:t xml:space="preserve">All direct salaries and wages, applicable fringe benefits, materials and supplies, services, travel, and subawards up to the first $25,000 of each subaward (regardless of the period of performance). MTDC excludes equipment, capital expenditures, charges for patient care, rental costs, tuition remission, scholarships and fellowships, participant support costs, and the portion of each subaward </w:t>
      </w:r>
      <w:proofErr w:type="gramStart"/>
      <w:r>
        <w:rPr>
          <w:i/>
          <w:iCs/>
        </w:rPr>
        <w:t>in excess of</w:t>
      </w:r>
      <w:proofErr w:type="gramEnd"/>
      <w:r>
        <w:rPr>
          <w:i/>
          <w:iCs/>
        </w:rPr>
        <w:t xml:space="preserve"> </w:t>
      </w:r>
      <w:r>
        <w:rPr>
          <w:i/>
          <w:iCs/>
        </w:rPr>
        <w:lastRenderedPageBreak/>
        <w:t>$25,000. Other items may be excluded only when necessary to avoid a serious inequity in the distribution of indirect costs, and with the approval of the cognizant agency for indirect costs.</w:t>
      </w:r>
    </w:p>
    <w:p w14:paraId="72AF7BBD" w14:textId="77777777" w:rsidR="00EF0D14" w:rsidRDefault="00000000">
      <w:pPr>
        <w:pStyle w:val="Heading2"/>
      </w:pPr>
      <w:bookmarkStart w:id="5" w:name="_Toc235178261"/>
      <w:r>
        <w:t>Choosing the Right Statement</w:t>
      </w:r>
      <w:bookmarkEnd w:id="5"/>
    </w:p>
    <w:p w14:paraId="512AFCC4" w14:textId="77777777" w:rsidR="00EF0D14" w:rsidRDefault="00000000">
      <w:pPr>
        <w:spacing w:after="120"/>
      </w:pPr>
      <w:r>
        <w:rPr>
          <w:b/>
          <w:bCs/>
          <w:color w:val="1F3864"/>
        </w:rPr>
        <w:t xml:space="preserve">If not applicable: </w:t>
      </w:r>
      <w:r>
        <w:rPr>
          <w:i/>
          <w:iCs/>
        </w:rPr>
        <w:t>“No indirect cost was applied per sponsor’s policy/guidelines.”</w:t>
      </w:r>
    </w:p>
    <w:p w14:paraId="792FD5D3" w14:textId="77777777" w:rsidR="00EF0D14" w:rsidRDefault="00000000">
      <w:pPr>
        <w:spacing w:after="120"/>
      </w:pPr>
      <w:r>
        <w:rPr>
          <w:b/>
          <w:bCs/>
          <w:color w:val="1F3864"/>
        </w:rPr>
        <w:t xml:space="preserve">If applicable:  </w:t>
      </w:r>
      <w:r>
        <w:t>State the type of IDC and the appropriate rate used. The example below is the standard language for the UCLA federally negotiated MTDC rate for “On-Campus” research.</w:t>
      </w:r>
    </w:p>
    <w:p w14:paraId="3B2AEBB3" w14:textId="77777777" w:rsidR="00EF0D14" w:rsidRDefault="00000000">
      <w:pPr>
        <w:pStyle w:val="Heading3"/>
      </w:pPr>
      <w:bookmarkStart w:id="6" w:name="_Toc235178262"/>
      <w:r>
        <w:t>Modified Total Direct (MTDC) Justification — Example</w:t>
      </w:r>
      <w:bookmarkEnd w:id="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D14" w14:paraId="44380C55" w14:textId="77777777">
        <w:tblPrEx>
          <w:tblCellMar>
            <w:top w:w="0" w:type="dxa"/>
            <w:bottom w:w="0" w:type="dxa"/>
          </w:tblCellMar>
        </w:tblPrEx>
        <w:tc>
          <w:tcPr>
            <w:tcW w:w="9360" w:type="dxa"/>
            <w:tcBorders>
              <w:top w:val="single" w:sz="4" w:space="0" w:color="BFBFBF"/>
              <w:left w:val="single" w:sz="4" w:space="0" w:color="BFBFBF"/>
              <w:bottom w:val="single" w:sz="4" w:space="0" w:color="BFBFBF"/>
              <w:right w:val="single" w:sz="4" w:space="0" w:color="BFBFBF"/>
            </w:tcBorders>
            <w:shd w:val="clear" w:color="auto" w:fill="F2F6FB"/>
            <w:tcMar>
              <w:top w:w="120" w:type="dxa"/>
              <w:left w:w="160" w:type="dxa"/>
              <w:bottom w:w="120" w:type="dxa"/>
              <w:right w:w="160" w:type="dxa"/>
            </w:tcMar>
          </w:tcPr>
          <w:p w14:paraId="78A10904" w14:textId="77777777" w:rsidR="00EF0D14" w:rsidRDefault="00000000">
            <w:pPr>
              <w:spacing w:after="100"/>
            </w:pPr>
            <w:r>
              <w:rPr>
                <w:i/>
                <w:iCs/>
              </w:rPr>
              <w:t>The [</w:t>
            </w:r>
            <w:proofErr w:type="gramStart"/>
            <w:r>
              <w:rPr>
                <w:i/>
                <w:iCs/>
              </w:rPr>
              <w:t>on-campus</w:t>
            </w:r>
            <w:proofErr w:type="gramEnd"/>
            <w:r>
              <w:rPr>
                <w:i/>
                <w:iCs/>
              </w:rPr>
              <w:t>] research indirect cost rate of [57.5%] of [modified total direct costs (MTDC)] has been applied in accordance with UCLA’s current Facilities &amp; Administrative (F&amp;A) rate agreement as negotiated with the Department of Health and Human Services dated April 24, 2026.</w:t>
            </w:r>
          </w:p>
          <w:p w14:paraId="54E3DA3C" w14:textId="77777777" w:rsidR="00EF0D14" w:rsidRDefault="00000000">
            <w:r>
              <w:rPr>
                <w:i/>
                <w:iCs/>
              </w:rPr>
              <w:t>These negotiated rates are established through June 30, 2025, and are provisional as of July 1, 2025, and beyond. Awards using provisional rates must be adjusted once a new F&amp;A rate agreement is negotiated and approved by the cognizant agency for indirect costs.</w:t>
            </w:r>
          </w:p>
        </w:tc>
      </w:tr>
    </w:tbl>
    <w:p w14:paraId="353DFF3B" w14:textId="77777777" w:rsidR="00EF0D14" w:rsidRDefault="00000000">
      <w:pPr>
        <w:pStyle w:val="Heading3"/>
      </w:pPr>
      <w:bookmarkStart w:id="7" w:name="_Toc235178263"/>
      <w:r>
        <w:t>Exclusions Language</w:t>
      </w:r>
      <w:bookmarkEnd w:id="7"/>
    </w:p>
    <w:p w14:paraId="267558EC" w14:textId="77777777" w:rsidR="00EF0D14" w:rsidRDefault="00000000">
      <w:pPr>
        <w:spacing w:after="120"/>
      </w:pPr>
      <w:r>
        <w:rPr>
          <w:b/>
          <w:bCs/>
          <w:color w:val="1F3864"/>
        </w:rPr>
        <w:t xml:space="preserve">No exclusions (MTDC with no exemptions): </w:t>
      </w:r>
      <w:r>
        <w:rPr>
          <w:i/>
          <w:iCs/>
        </w:rPr>
        <w:t>“No budget items were excluded from the overhead assessment.”</w:t>
      </w:r>
    </w:p>
    <w:p w14:paraId="7EE10B14" w14:textId="77777777" w:rsidR="00EF0D14" w:rsidRDefault="00000000">
      <w:pPr>
        <w:spacing w:after="120"/>
      </w:pPr>
      <w:r>
        <w:rPr>
          <w:b/>
          <w:bCs/>
          <w:color w:val="C00000"/>
        </w:rPr>
        <w:t xml:space="preserve">With exclusions </w:t>
      </w:r>
      <w:r>
        <w:t>(same base text as above, followed by a list of exclusions):</w:t>
      </w:r>
    </w:p>
    <w:p w14:paraId="1A730B0F" w14:textId="77777777" w:rsidR="00EF0D14" w:rsidRDefault="00000000">
      <w:pPr>
        <w:spacing w:after="120"/>
      </w:pPr>
      <w:r>
        <w:rPr>
          <w:i/>
          <w:iCs/>
        </w:rPr>
        <w:t xml:space="preserve">The indirect cost base is calculated based on modified total direct costs (MTDC), consisting of all salaries and wages, fringe benefits, materials, supplies, services, travel, and subgrants — including subcontracts up to the first $25,000 of each subgrant or subcontract (regardless of the period covered). Modified total direct costs exclude equipment, capital expenditures, charges for patient care, student tuition remission, rental costs of off-site facilities, scholarships, fellowships, participant support costs, and the portion of each subgrant and subcontract </w:t>
      </w:r>
      <w:proofErr w:type="gramStart"/>
      <w:r>
        <w:rPr>
          <w:i/>
          <w:iCs/>
        </w:rPr>
        <w:t>in excess of</w:t>
      </w:r>
      <w:proofErr w:type="gramEnd"/>
      <w:r>
        <w:rPr>
          <w:i/>
          <w:iCs/>
        </w:rPr>
        <w:t xml:space="preserve"> $25,000.</w:t>
      </w:r>
    </w:p>
    <w:p w14:paraId="4A7BFD9D" w14:textId="77777777" w:rsidR="00EF0D14" w:rsidRDefault="00000000">
      <w:pPr>
        <w:pStyle w:val="Heading3"/>
      </w:pPr>
      <w:bookmarkStart w:id="8" w:name="_Toc235178264"/>
      <w:r>
        <w:t>Example: Excluding Equipment, GSR Fee Remission &amp; Subaward Costs</w:t>
      </w:r>
      <w:bookmarkEnd w:id="8"/>
    </w:p>
    <w:p w14:paraId="11BD4E99" w14:textId="77777777" w:rsidR="00EF0D14" w:rsidRDefault="00000000">
      <w:pPr>
        <w:spacing w:after="100"/>
      </w:pPr>
      <w:r>
        <w:rPr>
          <w:b/>
          <w:bCs/>
        </w:rPr>
        <w:t>Style 1 (inline) — Year “X”: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D14" w14:paraId="2471FCDD" w14:textId="77777777">
        <w:tblPrEx>
          <w:tblCellMar>
            <w:top w:w="0" w:type="dxa"/>
            <w:bottom w:w="0" w:type="dxa"/>
          </w:tblCellMar>
        </w:tblPrEx>
        <w:tc>
          <w:tcPr>
            <w:tcW w:w="9360" w:type="dxa"/>
            <w:tcBorders>
              <w:top w:val="single" w:sz="4" w:space="0" w:color="BFBFBF"/>
              <w:left w:val="single" w:sz="4" w:space="0" w:color="BFBFBF"/>
              <w:bottom w:val="single" w:sz="4" w:space="0" w:color="BFBFBF"/>
              <w:right w:val="single" w:sz="4" w:space="0" w:color="BFBFBF"/>
            </w:tcBorders>
            <w:shd w:val="clear" w:color="auto" w:fill="F2F6FB"/>
            <w:tcMar>
              <w:top w:w="120" w:type="dxa"/>
              <w:left w:w="160" w:type="dxa"/>
              <w:bottom w:w="120" w:type="dxa"/>
              <w:right w:w="160" w:type="dxa"/>
            </w:tcMar>
          </w:tcPr>
          <w:p w14:paraId="267CFFE7" w14:textId="77777777" w:rsidR="00EF0D14" w:rsidRDefault="00000000">
            <w:r>
              <w:t>$504,743 (TDC) − $42,579 (subaward costs) − $14,199 (equipment) − $21,115 (x1 GSR fee) = $426,851 (Total IDC Base)</w:t>
            </w:r>
          </w:p>
        </w:tc>
      </w:tr>
    </w:tbl>
    <w:p w14:paraId="43FE69C0" w14:textId="77777777" w:rsidR="00EF0D14" w:rsidRDefault="00000000">
      <w:pPr>
        <w:spacing w:before="120" w:after="100"/>
      </w:pPr>
      <w:r>
        <w:rPr>
          <w:b/>
          <w:bCs/>
        </w:rPr>
        <w:t>Style 2 (table) — Year “X”: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F0D14" w14:paraId="5ED088DA"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22BBED3" w14:textId="77777777" w:rsidR="00EF0D14" w:rsidRDefault="00000000">
            <w:r>
              <w:rPr>
                <w:b/>
                <w:bCs/>
              </w:rPr>
              <w:t>$504,743</w:t>
            </w:r>
          </w:p>
        </w:tc>
        <w:tc>
          <w:tcPr>
            <w:tcW w:w="71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344507D" w14:textId="77777777" w:rsidR="00EF0D14" w:rsidRDefault="00000000">
            <w:r>
              <w:rPr>
                <w:b/>
                <w:bCs/>
              </w:rPr>
              <w:t xml:space="preserve">UCLA Total Direct Cost </w:t>
            </w:r>
            <w:r>
              <w:rPr>
                <w:i/>
                <w:iCs/>
              </w:rPr>
              <w:t>(including total subaward costs)</w:t>
            </w:r>
          </w:p>
        </w:tc>
      </w:tr>
      <w:tr w:rsidR="00EF0D14" w14:paraId="031FB902"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11EEAF1" w14:textId="77777777" w:rsidR="00EF0D14" w:rsidRDefault="00000000">
            <w:r>
              <w:t>− $42,578</w:t>
            </w:r>
          </w:p>
        </w:tc>
        <w:tc>
          <w:tcPr>
            <w:tcW w:w="71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A27C791" w14:textId="77777777" w:rsidR="00EF0D14" w:rsidRDefault="00000000">
            <w:r>
              <w:t xml:space="preserve">Subaward costs excluded </w:t>
            </w:r>
            <w:r>
              <w:rPr>
                <w:i/>
                <w:iCs/>
              </w:rPr>
              <w:t>(</w:t>
            </w:r>
            <w:proofErr w:type="gramStart"/>
            <w:r>
              <w:rPr>
                <w:i/>
                <w:iCs/>
              </w:rPr>
              <w:t>in excess of</w:t>
            </w:r>
            <w:proofErr w:type="gramEnd"/>
            <w:r>
              <w:rPr>
                <w:i/>
                <w:iCs/>
              </w:rPr>
              <w:t xml:space="preserve"> the first $25,000)</w:t>
            </w:r>
          </w:p>
        </w:tc>
      </w:tr>
      <w:tr w:rsidR="00EF0D14" w14:paraId="36374637"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3092A99" w14:textId="77777777" w:rsidR="00EF0D14" w:rsidRDefault="00000000">
            <w:r>
              <w:t>− $14,199</w:t>
            </w:r>
          </w:p>
        </w:tc>
        <w:tc>
          <w:tcPr>
            <w:tcW w:w="71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1B41FDD" w14:textId="77777777" w:rsidR="00EF0D14" w:rsidRDefault="00000000">
            <w:r>
              <w:t xml:space="preserve">Equipment cost </w:t>
            </w:r>
            <w:r>
              <w:rPr>
                <w:i/>
                <w:iCs/>
              </w:rPr>
              <w:t>(total for all items that qualify as “equipment”)</w:t>
            </w:r>
          </w:p>
        </w:tc>
      </w:tr>
      <w:tr w:rsidR="00EF0D14" w14:paraId="2EF0C13D"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18D7929" w14:textId="77777777" w:rsidR="00EF0D14" w:rsidRDefault="00000000">
            <w:r>
              <w:t>− $21,115</w:t>
            </w:r>
          </w:p>
        </w:tc>
        <w:tc>
          <w:tcPr>
            <w:tcW w:w="71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2B6DD0D2" w14:textId="77777777" w:rsidR="00EF0D14" w:rsidRDefault="00000000">
            <w:r>
              <w:t xml:space="preserve">x1 GSR fee remission </w:t>
            </w:r>
            <w:r>
              <w:rPr>
                <w:i/>
                <w:iCs/>
              </w:rPr>
              <w:t>(number of students and total fee costs)</w:t>
            </w:r>
          </w:p>
        </w:tc>
      </w:tr>
      <w:tr w:rsidR="00EF0D14" w14:paraId="5619637C"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53201EF" w14:textId="77777777" w:rsidR="00EF0D14" w:rsidRDefault="00000000">
            <w:r>
              <w:rPr>
                <w:b/>
                <w:bCs/>
              </w:rPr>
              <w:t>$426,851</w:t>
            </w:r>
          </w:p>
        </w:tc>
        <w:tc>
          <w:tcPr>
            <w:tcW w:w="71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A811BEE" w14:textId="77777777" w:rsidR="00EF0D14" w:rsidRDefault="00000000">
            <w:r>
              <w:rPr>
                <w:b/>
                <w:bCs/>
              </w:rPr>
              <w:t>UCLA Indirect Cost Base</w:t>
            </w:r>
          </w:p>
        </w:tc>
      </w:tr>
    </w:tbl>
    <w:p w14:paraId="270A66B6" w14:textId="77777777" w:rsidR="00EF0D14" w:rsidRDefault="00000000">
      <w:pPr>
        <w:pStyle w:val="Heading3"/>
      </w:pPr>
      <w:bookmarkStart w:id="9" w:name="_Toc235178265"/>
      <w:r>
        <w:t>Lower IDC Rate &amp; Vital-Interest IDC Exception</w:t>
      </w:r>
      <w:bookmarkEnd w:id="9"/>
    </w:p>
    <w:p w14:paraId="551325B7" w14:textId="77777777" w:rsidR="00EF0D14" w:rsidRDefault="00000000">
      <w:pPr>
        <w:spacing w:after="120"/>
      </w:pPr>
      <w:r>
        <w:lastRenderedPageBreak/>
        <w:t>Use the following justification when applying a lower IDC rate and requesting a vital-interest IDC exception.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D14" w14:paraId="6D991314" w14:textId="77777777">
        <w:tblPrEx>
          <w:tblCellMar>
            <w:top w:w="0" w:type="dxa"/>
            <w:bottom w:w="0" w:type="dxa"/>
          </w:tblCellMar>
        </w:tblPrEx>
        <w:tc>
          <w:tcPr>
            <w:tcW w:w="9360" w:type="dxa"/>
            <w:tcBorders>
              <w:top w:val="single" w:sz="4" w:space="0" w:color="BFBFBF"/>
              <w:left w:val="single" w:sz="4" w:space="0" w:color="BFBFBF"/>
              <w:bottom w:val="single" w:sz="4" w:space="0" w:color="BFBFBF"/>
              <w:right w:val="single" w:sz="4" w:space="0" w:color="BFBFBF"/>
            </w:tcBorders>
            <w:shd w:val="clear" w:color="auto" w:fill="F2F6FB"/>
            <w:tcMar>
              <w:top w:w="120" w:type="dxa"/>
              <w:left w:w="160" w:type="dxa"/>
              <w:bottom w:w="120" w:type="dxa"/>
              <w:right w:w="160" w:type="dxa"/>
            </w:tcMar>
          </w:tcPr>
          <w:p w14:paraId="5A9AAFE6" w14:textId="77777777" w:rsidR="00EF0D14" w:rsidRDefault="00000000">
            <w:pPr>
              <w:spacing w:after="100"/>
            </w:pPr>
            <w:r>
              <w:rPr>
                <w:i/>
                <w:iCs/>
              </w:rPr>
              <w:t>“In accordance with Request for Application XXXXX (insert RFA number/information if available), indirect costs are capped at a maximum of X% of the total budget (insert sponsor’s allowed IDC rate). This proposal applies an IDC rate of X% to Modified Total Direct Costs (MTDC), which is below UCLA’s negotiated rate of X% for the State of California or Federal (select one).</w:t>
            </w:r>
          </w:p>
          <w:p w14:paraId="7B5B0343" w14:textId="77777777" w:rsidR="00EF0D14" w:rsidRDefault="00000000">
            <w:r>
              <w:rPr>
                <w:i/>
                <w:iCs/>
              </w:rPr>
              <w:t>An exception request has been submitted to the UC Office of the President for approval. If granted, this reduced rate will allow UCLA to allocate more funds to direct programmatic activities, reinforcing the university’s commitment to maximizing the impact of grant resources.”</w:t>
            </w:r>
          </w:p>
        </w:tc>
      </w:tr>
    </w:tbl>
    <w:p w14:paraId="247DDC21" w14:textId="77777777" w:rsidR="00EF0D14" w:rsidRDefault="00000000">
      <w:pPr>
        <w:pStyle w:val="Heading1"/>
      </w:pPr>
      <w:bookmarkStart w:id="10" w:name="_Toc235178266"/>
      <w:r>
        <w:t>3. Descriptive Language for Other Related Costs</w:t>
      </w:r>
      <w:bookmarkEnd w:id="10"/>
    </w:p>
    <w:p w14:paraId="0B72AD31" w14:textId="77777777" w:rsidR="00EF0D14" w:rsidRDefault="00000000">
      <w:pPr>
        <w:pStyle w:val="Heading2"/>
      </w:pPr>
      <w:bookmarkStart w:id="11" w:name="_Toc235178267"/>
      <w:r>
        <w:t>Personnel Costs</w:t>
      </w:r>
      <w:bookmarkEnd w:id="11"/>
    </w:p>
    <w:p w14:paraId="496AE40D" w14:textId="77777777" w:rsidR="00EF0D14" w:rsidRDefault="00000000">
      <w:pPr>
        <w:spacing w:after="120"/>
      </w:pPr>
      <w:r>
        <w:rPr>
          <w:b/>
          <w:bCs/>
          <w:color w:val="1F3864"/>
        </w:rPr>
        <w:t xml:space="preserve">Dr. Bruin, Ph.D., Principal Investigator (4.8 calendar months, Y1–Y5).  </w:t>
      </w:r>
      <w:r>
        <w:t>Dr. Bruin has been PI of two NIH-funded training awards and has been first or senior author on 10 peer-reviewed manuscripts investigating the role of neuroendocrine factors in brain function and behavior. …</w:t>
      </w:r>
    </w:p>
    <w:p w14:paraId="24BBA9DB" w14:textId="77777777" w:rsidR="00EF0D14" w:rsidRDefault="00000000">
      <w:pPr>
        <w:spacing w:after="120"/>
      </w:pPr>
      <w:r>
        <w:rPr>
          <w:b/>
          <w:bCs/>
          <w:color w:val="1F3864"/>
        </w:rPr>
        <w:t xml:space="preserve">TBN Staff Research Associate (12 calendar months, Y1–Y5).  </w:t>
      </w:r>
      <w:r>
        <w:t>This individual will be trained by the PI and all three co-investigators, with regular support from the TBN postdoctoral fellow. Responsibilities include recruiting participants, obtaining informed consent, scheduling …</w:t>
      </w:r>
    </w:p>
    <w:p w14:paraId="4E6FF5F3" w14:textId="77777777" w:rsidR="00EF0D14" w:rsidRDefault="00000000">
      <w:pPr>
        <w:spacing w:after="120"/>
      </w:pPr>
      <w:r>
        <w:rPr>
          <w:b/>
          <w:bCs/>
          <w:color w:val="1F3864"/>
        </w:rPr>
        <w:t xml:space="preserve">James Bruin, M.D. (Consultant).  </w:t>
      </w:r>
      <w:r>
        <w:t>Contracted for all years of the project at a rate of $78/</w:t>
      </w:r>
      <w:proofErr w:type="spellStart"/>
      <w:r>
        <w:t>hr</w:t>
      </w:r>
      <w:proofErr w:type="spellEnd"/>
      <w:r>
        <w:t xml:space="preserve"> for 20 hours in each year. Dr. Bruin will perform …</w:t>
      </w:r>
    </w:p>
    <w:p w14:paraId="383B3861" w14:textId="77777777" w:rsidR="00EF0D14" w:rsidRDefault="00000000">
      <w:pPr>
        <w:spacing w:after="80"/>
      </w:pPr>
      <w:r>
        <w:rPr>
          <w:b/>
          <w:bCs/>
          <w:color w:val="C00000"/>
        </w:rPr>
        <w:t>Additional personnel descriptives still to address:</w:t>
      </w:r>
    </w:p>
    <w:p w14:paraId="52EEB78E" w14:textId="77777777" w:rsidR="00EF0D14" w:rsidRDefault="00000000">
      <w:pPr>
        <w:pStyle w:val="ListParagraph"/>
        <w:numPr>
          <w:ilvl w:val="0"/>
          <w:numId w:val="2"/>
        </w:numPr>
      </w:pPr>
      <w:r>
        <w:rPr>
          <w:color w:val="C00000"/>
        </w:rPr>
        <w:t>How to justify someone with no effort who wants to serve as an “Other Significant Contributor.”</w:t>
      </w:r>
    </w:p>
    <w:p w14:paraId="2B04A604" w14:textId="77777777" w:rsidR="00EF0D14" w:rsidRDefault="00000000">
      <w:pPr>
        <w:pStyle w:val="ListParagraph"/>
        <w:numPr>
          <w:ilvl w:val="0"/>
          <w:numId w:val="2"/>
        </w:numPr>
      </w:pPr>
      <w:r>
        <w:rPr>
          <w:color w:val="C00000"/>
        </w:rPr>
        <w:t>How to justify someone who is “donating” effort.</w:t>
      </w:r>
    </w:p>
    <w:p w14:paraId="6C61C2B7" w14:textId="77777777" w:rsidR="00EF0D14" w:rsidRDefault="00000000">
      <w:pPr>
        <w:pStyle w:val="ListParagraph"/>
        <w:numPr>
          <w:ilvl w:val="0"/>
          <w:numId w:val="2"/>
        </w:numPr>
      </w:pPr>
      <w:r>
        <w:rPr>
          <w:color w:val="C00000"/>
        </w:rPr>
        <w:t>100% unfunded effort.</w:t>
      </w:r>
    </w:p>
    <w:p w14:paraId="7D77C975" w14:textId="77777777" w:rsidR="00EF0D14" w:rsidRDefault="00000000">
      <w:pPr>
        <w:pStyle w:val="ListParagraph"/>
        <w:numPr>
          <w:ilvl w:val="0"/>
          <w:numId w:val="2"/>
        </w:numPr>
      </w:pPr>
      <w:r>
        <w:rPr>
          <w:color w:val="C00000"/>
        </w:rPr>
        <w:t>Partial unfunded effort.</w:t>
      </w:r>
    </w:p>
    <w:p w14:paraId="77788BC1" w14:textId="77777777" w:rsidR="00EF0D14" w:rsidRDefault="00000000">
      <w:pPr>
        <w:pStyle w:val="Heading2"/>
      </w:pPr>
      <w:bookmarkStart w:id="12" w:name="_Toc235178268"/>
      <w:r>
        <w:t>VA–UCLA Joint Appointees</w:t>
      </w:r>
      <w:bookmarkEnd w:id="12"/>
    </w:p>
    <w:p w14:paraId="66966DDC" w14:textId="77777777" w:rsidR="00EF0D14" w:rsidRDefault="00000000">
      <w:pPr>
        <w:spacing w:after="120"/>
      </w:pPr>
      <w:r>
        <w:rPr>
          <w:i/>
          <w:iCs/>
        </w:rPr>
        <w:t>[Dr. XXXX] is a dual appointee of UCLA and the VA of Greater Los Angeles Health System. The institutional base salary in this application represents only the salary and benefits from UCLA. It is certified that there is no possibility of dual compensation for the same work, or of an actual or apparent conflict of interest regarding the proposed work. [Dr. XXXX’s] Memorandum of Understanding will be available on request.</w:t>
      </w:r>
    </w:p>
    <w:p w14:paraId="34018FC7" w14:textId="77777777" w:rsidR="00EF0D14" w:rsidRDefault="00000000">
      <w:pPr>
        <w:pStyle w:val="Heading2"/>
      </w:pPr>
      <w:bookmarkStart w:id="13" w:name="_Toc235178269"/>
      <w:r>
        <w:t>Tuition &amp; Fees</w:t>
      </w:r>
      <w:bookmarkEnd w:id="13"/>
    </w:p>
    <w:p w14:paraId="3AF58CA0" w14:textId="77777777" w:rsidR="00EF0D14" w:rsidRDefault="00000000">
      <w:pPr>
        <w:spacing w:after="120"/>
      </w:pPr>
      <w:r>
        <w:rPr>
          <w:b/>
          <w:bCs/>
          <w:color w:val="1F3864"/>
        </w:rPr>
        <w:t xml:space="preserve">Graduate Student Researcher Fee Remission ($21,115/yr).  </w:t>
      </w:r>
      <w:r>
        <w:t>UCLA GSRs appointed at 25% time or greater qualify for fee remissions that cover 100% of the Education, Registration, and UCSHIP fees for the quarter(s) of appointment. Fee remission is requested for GSR [insert name], who will dedicate six calendar months (50% of their effort) annually to this project.</w:t>
      </w:r>
    </w:p>
    <w:p w14:paraId="7920ACF7" w14:textId="77777777" w:rsidR="00EF0D14" w:rsidRDefault="00000000">
      <w:pPr>
        <w:pStyle w:val="Heading2"/>
      </w:pPr>
      <w:bookmarkStart w:id="14" w:name="_Toc235178270"/>
      <w:r>
        <w:t>UCLA Technology Infrastructure Fee (TIF)</w:t>
      </w:r>
      <w:bookmarkEnd w:id="14"/>
    </w:p>
    <w:p w14:paraId="75986D93" w14:textId="77777777" w:rsidR="00EF0D14" w:rsidRDefault="00000000">
      <w:pPr>
        <w:spacing w:after="120"/>
      </w:pPr>
      <w:r>
        <w:lastRenderedPageBreak/>
        <w:t xml:space="preserve">The Technology Infrastructure Fee (TIF) is a consistently applied direct charge assessed to every campus activity unit, regardless of funding source, including units identified as individual grant and contract awards. The TIF pays for campus communication services based on a monthly accounting of actual usage data. These costs are charged as </w:t>
      </w:r>
      <w:r>
        <w:rPr>
          <w:b/>
          <w:bCs/>
        </w:rPr>
        <w:t>direct costs and are not recovered as indirect costs</w:t>
      </w:r>
      <w:r>
        <w:t>. Calculated using $43.96 per calendar month per 1.0 FTE, we request [$XX] annually for this line item.</w:t>
      </w:r>
    </w:p>
    <w:p w14:paraId="73B0852E" w14:textId="77777777" w:rsidR="00EF0D14" w:rsidRDefault="00000000">
      <w:pPr>
        <w:pStyle w:val="Heading2"/>
      </w:pPr>
      <w:bookmarkStart w:id="15" w:name="_Toc235178271"/>
      <w:r>
        <w:t>Travel — Domestic &amp; International</w:t>
      </w:r>
      <w:bookmarkEnd w:id="15"/>
    </w:p>
    <w:p w14:paraId="55F21B63" w14:textId="77777777" w:rsidR="00EF0D14" w:rsidRDefault="00000000">
      <w:pPr>
        <w:spacing w:after="120"/>
      </w:pPr>
      <w:r>
        <w:t xml:space="preserve">Reference: </w:t>
      </w:r>
      <w:hyperlink r:id="rId8" w:history="1">
        <w:r>
          <w:rPr>
            <w:rStyle w:val="Hyperlink"/>
          </w:rPr>
          <w:t>UCLA 2025 Reimbursement Allowances for Mileage &amp; Meals | Travel Services</w:t>
        </w:r>
      </w:hyperlink>
      <w:r>
        <w:t>.</w:t>
      </w:r>
    </w:p>
    <w:p w14:paraId="44119189" w14:textId="77777777" w:rsidR="00EF0D14" w:rsidRDefault="00000000">
      <w:pPr>
        <w:spacing w:after="120"/>
      </w:pPr>
      <w:r>
        <w:rPr>
          <w:b/>
          <w:bCs/>
          <w:color w:val="1F3864"/>
        </w:rPr>
        <w:t>Domestic</w:t>
      </w:r>
      <w:proofErr w:type="gramStart"/>
      <w:r>
        <w:rPr>
          <w:b/>
          <w:bCs/>
          <w:color w:val="1F3864"/>
        </w:rPr>
        <w:t xml:space="preserve">:  </w:t>
      </w:r>
      <w:r>
        <w:t>[</w:t>
      </w:r>
      <w:proofErr w:type="gramEnd"/>
      <w:r>
        <w:t>$1,300] is requested annually for the PI to disseminate findings at a domestic scientific conference, such as the [Society for Neuroscience]. Travel costs are estimated at [$1,300] per trip, per person for a [3-day, 2-night stay]: Registration ($400); round-trip economy flight from Los Angeles, CA ($350); lodging ($150/night, $300 total); meals and transportation ($250).</w:t>
      </w:r>
    </w:p>
    <w:p w14:paraId="7109162C" w14:textId="77777777" w:rsidR="00EF0D14" w:rsidRDefault="00000000">
      <w:pPr>
        <w:spacing w:after="120"/>
      </w:pPr>
      <w:r>
        <w:rPr>
          <w:i/>
          <w:iCs/>
        </w:rPr>
        <w:t>For domestic university business travel lasting less than 30 days, UCLA travelers are reimbursed for actual meal and lodging expenses rather than per diem. Per university policy, exact amounts are subject to a daily limit.</w:t>
      </w:r>
    </w:p>
    <w:p w14:paraId="04A49B49" w14:textId="77777777" w:rsidR="00EF0D14" w:rsidRDefault="00000000">
      <w:pPr>
        <w:spacing w:after="120"/>
      </w:pPr>
      <w:r>
        <w:rPr>
          <w:b/>
          <w:bCs/>
          <w:color w:val="1F3864"/>
        </w:rPr>
        <w:t>International</w:t>
      </w:r>
      <w:proofErr w:type="gramStart"/>
      <w:r>
        <w:rPr>
          <w:b/>
          <w:bCs/>
          <w:color w:val="1F3864"/>
        </w:rPr>
        <w:t xml:space="preserve">:  </w:t>
      </w:r>
      <w:r>
        <w:t>[</w:t>
      </w:r>
      <w:proofErr w:type="gramEnd"/>
      <w:r>
        <w:t>$2,800] is requested in years [3 and 5] only, for the PI to disseminate findings at an international scientific conference such as the [Organization for Human Brain Mapping]. Travel costs are estimated at [$2,800] per trip for a 4-night stay: Registration ($700); round-trip economy flight from Los Angeles, CA ($800); international lodging and meal per diem ($325/day, $1,300 total).</w:t>
      </w:r>
    </w:p>
    <w:p w14:paraId="39E5F864" w14:textId="77777777" w:rsidR="00EF0D14" w:rsidRDefault="00000000">
      <w:pPr>
        <w:spacing w:after="120"/>
      </w:pPr>
      <w:r>
        <w:rPr>
          <w:b/>
          <w:bCs/>
          <w:color w:val="1F3864"/>
        </w:rPr>
        <w:t xml:space="preserve">Mileage Reimbursement.  </w:t>
      </w:r>
      <w:r>
        <w:t>Each year, [$1,064] is requested to support study staff travel from UCLA to recruitment sites, scanning locations, and local meetings with recruitment teams at UCLA and affiliated hospitals and clinics in the Greater Los Angeles area. Up to [1,468] miles, reimbursed at the current federal rate of $0.725 per mile, is anticipated annually.</w:t>
      </w:r>
    </w:p>
    <w:p w14:paraId="4676E8FF" w14:textId="77777777" w:rsidR="00EF0D14" w:rsidRDefault="00000000">
      <w:pPr>
        <w:pStyle w:val="Heading2"/>
      </w:pPr>
      <w:bookmarkStart w:id="16" w:name="_Toc235178272"/>
      <w:r>
        <w:t>Subaward-Related Expense</w:t>
      </w:r>
      <w:bookmarkEnd w:id="16"/>
    </w:p>
    <w:p w14:paraId="5AD56237" w14:textId="77777777" w:rsidR="00EF0D14" w:rsidRDefault="00000000">
      <w:pPr>
        <w:spacing w:after="120"/>
      </w:pPr>
      <w:r>
        <w:rPr>
          <w:b/>
          <w:bCs/>
          <w:color w:val="1F3864"/>
        </w:rPr>
        <w:t xml:space="preserve">Subawards / Consortium / Contractual Costs.  </w:t>
      </w:r>
      <w:r>
        <w:t>UCLA will issue a subaward in [Years 1–5] to [Emory University]. See below for a summary of annual costs. Detailed budgets and budget justifications are provided herein.</w:t>
      </w:r>
    </w:p>
    <w:p w14:paraId="4725C12E" w14:textId="77777777" w:rsidR="00EF0D14" w:rsidRDefault="00000000">
      <w:pPr>
        <w:spacing w:after="100"/>
      </w:pPr>
      <w:r>
        <w:rPr>
          <w:b/>
          <w:bCs/>
        </w:rPr>
        <w:t>[University of Alabama] — Annual Cost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EF0D14" w14:paraId="1277603E" w14:textId="77777777">
        <w:tblPrEx>
          <w:tblCellMar>
            <w:top w:w="0" w:type="dxa"/>
            <w:bottom w:w="0" w:type="dxa"/>
          </w:tblCellMar>
        </w:tblPrEx>
        <w:trPr>
          <w:tblHeader/>
        </w:trPr>
        <w:tc>
          <w:tcPr>
            <w:tcW w:w="234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E70DC74" w14:textId="77777777" w:rsidR="00EF0D14" w:rsidRDefault="00000000">
            <w:r>
              <w:rPr>
                <w:b/>
                <w:bCs/>
                <w:color w:val="FFFFFF"/>
              </w:rPr>
              <w:t>Year</w:t>
            </w:r>
          </w:p>
        </w:tc>
        <w:tc>
          <w:tcPr>
            <w:tcW w:w="234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AC60058" w14:textId="77777777" w:rsidR="00EF0D14" w:rsidRDefault="00000000">
            <w:r>
              <w:rPr>
                <w:b/>
                <w:bCs/>
                <w:color w:val="FFFFFF"/>
              </w:rPr>
              <w:t>Direct Costs</w:t>
            </w:r>
          </w:p>
        </w:tc>
        <w:tc>
          <w:tcPr>
            <w:tcW w:w="234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907FE45" w14:textId="77777777" w:rsidR="00EF0D14" w:rsidRDefault="00000000">
            <w:r>
              <w:rPr>
                <w:b/>
                <w:bCs/>
                <w:color w:val="FFFFFF"/>
              </w:rPr>
              <w:t>Indirect Costs</w:t>
            </w:r>
          </w:p>
        </w:tc>
        <w:tc>
          <w:tcPr>
            <w:tcW w:w="234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2B26FCB" w14:textId="77777777" w:rsidR="00EF0D14" w:rsidRDefault="00000000">
            <w:r>
              <w:rPr>
                <w:b/>
                <w:bCs/>
                <w:color w:val="FFFFFF"/>
              </w:rPr>
              <w:t>Total Costs</w:t>
            </w:r>
          </w:p>
        </w:tc>
      </w:tr>
      <w:tr w:rsidR="00EF0D14" w14:paraId="5E38E459" w14:textId="77777777">
        <w:tblPrEx>
          <w:tblCellMar>
            <w:top w:w="0" w:type="dxa"/>
            <w:bottom w:w="0" w:type="dxa"/>
          </w:tblCellMar>
        </w:tblPrEx>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8B3E56C" w14:textId="77777777" w:rsidR="00EF0D14" w:rsidRDefault="00000000">
            <w:r>
              <w:rPr>
                <w:b/>
                <w:bCs/>
              </w:rPr>
              <w:t>Year 1</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87521DE" w14:textId="77777777" w:rsidR="00EF0D14" w:rsidRDefault="00000000">
            <w:r>
              <w:t>$125,500</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0A14659" w14:textId="77777777" w:rsidR="00EF0D14" w:rsidRDefault="00000000">
            <w:r>
              <w:t>$70,908</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6149230" w14:textId="77777777" w:rsidR="00EF0D14" w:rsidRDefault="00000000">
            <w:r>
              <w:t>$196,408</w:t>
            </w:r>
          </w:p>
        </w:tc>
      </w:tr>
      <w:tr w:rsidR="00EF0D14" w14:paraId="544101B3" w14:textId="77777777">
        <w:tblPrEx>
          <w:tblCellMar>
            <w:top w:w="0" w:type="dxa"/>
            <w:bottom w:w="0" w:type="dxa"/>
          </w:tblCellMar>
        </w:tblPrEx>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79D0AEA" w14:textId="77777777" w:rsidR="00EF0D14" w:rsidRDefault="00000000">
            <w:r>
              <w:rPr>
                <w:b/>
                <w:bCs/>
              </w:rPr>
              <w:t>Year 2</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EB89204" w14:textId="77777777" w:rsidR="00EF0D14" w:rsidRDefault="00000000">
            <w:r>
              <w:t>$115,939</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9C68995" w14:textId="77777777" w:rsidR="00EF0D14" w:rsidRDefault="00000000">
            <w:r>
              <w:t>$65,506</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098E2C9" w14:textId="77777777" w:rsidR="00EF0D14" w:rsidRDefault="00000000">
            <w:r>
              <w:t>$181,445</w:t>
            </w:r>
          </w:p>
        </w:tc>
      </w:tr>
      <w:tr w:rsidR="00EF0D14" w14:paraId="1182211B" w14:textId="77777777">
        <w:tblPrEx>
          <w:tblCellMar>
            <w:top w:w="0" w:type="dxa"/>
            <w:bottom w:w="0" w:type="dxa"/>
          </w:tblCellMar>
        </w:tblPrEx>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CEB1135" w14:textId="77777777" w:rsidR="00EF0D14" w:rsidRDefault="00000000">
            <w:r>
              <w:rPr>
                <w:b/>
                <w:bCs/>
              </w:rPr>
              <w:t>Year 3</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1000EA6" w14:textId="77777777" w:rsidR="00EF0D14" w:rsidRDefault="00000000">
            <w:r>
              <w:t>$121,500</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A3EBB77" w14:textId="77777777" w:rsidR="00EF0D14" w:rsidRDefault="00000000">
            <w:r>
              <w:t>$68,648</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3AA90CF" w14:textId="77777777" w:rsidR="00EF0D14" w:rsidRDefault="00000000">
            <w:r>
              <w:t>$190,148</w:t>
            </w:r>
          </w:p>
        </w:tc>
      </w:tr>
      <w:tr w:rsidR="00EF0D14" w14:paraId="15EC3CAB" w14:textId="77777777">
        <w:tblPrEx>
          <w:tblCellMar>
            <w:top w:w="0" w:type="dxa"/>
            <w:bottom w:w="0" w:type="dxa"/>
          </w:tblCellMar>
        </w:tblPrEx>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83CBC5C" w14:textId="77777777" w:rsidR="00EF0D14" w:rsidRDefault="00000000">
            <w:r>
              <w:rPr>
                <w:b/>
                <w:bCs/>
              </w:rPr>
              <w:t>Year 4</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D12EE10" w14:textId="77777777" w:rsidR="00EF0D14" w:rsidRDefault="00000000">
            <w:r>
              <w:t>$121,500</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A43B115" w14:textId="77777777" w:rsidR="00EF0D14" w:rsidRDefault="00000000">
            <w:r>
              <w:t>$68,648</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1ED413A" w14:textId="77777777" w:rsidR="00EF0D14" w:rsidRDefault="00000000">
            <w:r>
              <w:t>$190,148</w:t>
            </w:r>
          </w:p>
        </w:tc>
      </w:tr>
      <w:tr w:rsidR="00EF0D14" w14:paraId="365068CC" w14:textId="77777777">
        <w:tblPrEx>
          <w:tblCellMar>
            <w:top w:w="0" w:type="dxa"/>
            <w:bottom w:w="0" w:type="dxa"/>
          </w:tblCellMar>
        </w:tblPrEx>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22E0237F" w14:textId="77777777" w:rsidR="00EF0D14" w:rsidRDefault="00000000">
            <w:r>
              <w:rPr>
                <w:b/>
                <w:bCs/>
              </w:rPr>
              <w:t>Year 5</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BBE7B88" w14:textId="77777777" w:rsidR="00EF0D14" w:rsidRDefault="00000000">
            <w:r>
              <w:t>$125,500</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2595D352" w14:textId="77777777" w:rsidR="00EF0D14" w:rsidRDefault="00000000">
            <w:r>
              <w:t>$70,908</w:t>
            </w:r>
          </w:p>
        </w:tc>
        <w:tc>
          <w:tcPr>
            <w:tcW w:w="234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FD8AC21" w14:textId="77777777" w:rsidR="00EF0D14" w:rsidRDefault="00000000">
            <w:r>
              <w:t>$196,408</w:t>
            </w:r>
          </w:p>
        </w:tc>
      </w:tr>
    </w:tbl>
    <w:p w14:paraId="45D128DC" w14:textId="77777777" w:rsidR="00EF0D14" w:rsidRDefault="00000000">
      <w:pPr>
        <w:pStyle w:val="Heading1"/>
      </w:pPr>
      <w:bookmarkStart w:id="17" w:name="_Toc235178273"/>
      <w:r>
        <w:t>4. Language for Non-Federal Proposals</w:t>
      </w:r>
      <w:bookmarkEnd w:id="17"/>
    </w:p>
    <w:p w14:paraId="04195618" w14:textId="77777777" w:rsidR="00EF0D14" w:rsidRDefault="00000000">
      <w:pPr>
        <w:spacing w:after="120"/>
      </w:pPr>
      <w:r>
        <w:rPr>
          <w:i/>
          <w:iCs/>
        </w:rPr>
        <w:t>Applicable for all non-federal grants unless stated otherwise.</w:t>
      </w:r>
    </w:p>
    <w:p w14:paraId="5B0885D9" w14:textId="5A46BF59" w:rsidR="00EF0D14" w:rsidRDefault="00000000">
      <w:pPr>
        <w:spacing w:after="120"/>
      </w:pPr>
      <w:r>
        <w:rPr>
          <w:b/>
          <w:bCs/>
          <w:color w:val="1F3864"/>
        </w:rPr>
        <w:lastRenderedPageBreak/>
        <w:t xml:space="preserve">Fringe Benefits Statement:  </w:t>
      </w:r>
      <w:r>
        <w:t xml:space="preserve">UCLA employer-based fringe benefit rate is the sum of an employee’s assigned Composite Benefit Rate (CBR) and a flat University of California Retirement Program (UCRP) Supplemental Interest Assessment Rate (RPNI). CBR includes costs such as retirement, FICA and Medicare taxes, and medical, dental, and vision expenses, and is the average cost of benefits for an employee group (defined by attributes such as benefit eligibility, employee class, exempt/non-exempt status, and job code). Fringe benefits are assessed as a percentage of the respective employee’s salary. The CBR rates applied herein have been </w:t>
      </w:r>
      <w:r w:rsidR="002A55CE">
        <w:t>approved</w:t>
      </w:r>
      <w:r>
        <w:t xml:space="preserve"> </w:t>
      </w:r>
      <w:r w:rsidR="002A55CE">
        <w:t>by</w:t>
      </w:r>
      <w:r>
        <w:t xml:space="preserve"> DHHS for FY26–27. The RPNI rate recovers interest costs associated with unfunded plan liability and is applied to all UCRP-covered staff at a FY26/27 rate of 0.75% of requested salary.</w:t>
      </w:r>
    </w:p>
    <w:p w14:paraId="7103B956" w14:textId="77777777" w:rsidR="00EF0D14" w:rsidRDefault="00000000">
      <w:pPr>
        <w:spacing w:after="120"/>
      </w:pPr>
      <w:r>
        <w:rPr>
          <w:b/>
          <w:bCs/>
          <w:color w:val="1F3864"/>
        </w:rPr>
        <w:t xml:space="preserve">General Liability Insurance:  </w:t>
      </w:r>
      <w:r>
        <w:t>UCLA maintains a self-insurance program to cover the costs of its General Liability Program. Charges are made as a percentage of each $100 of salary costs and assessed to all extramural funding sources, except support from the federal government / flow-through funds. These costs are charged as direct costs, are not recovered as indirect costs, and are calculated at a rate of $1.75 per $100 of salary. Funds are requested at the annual cost of [$XX].</w:t>
      </w:r>
    </w:p>
    <w:sectPr w:rsidR="00EF0D14">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CABA5E" w14:textId="77777777" w:rsidR="00847E79" w:rsidRDefault="00847E79">
      <w:r>
        <w:separator/>
      </w:r>
    </w:p>
  </w:endnote>
  <w:endnote w:type="continuationSeparator" w:id="0">
    <w:p w14:paraId="1FA0BEDD" w14:textId="77777777" w:rsidR="00847E79" w:rsidRDefault="0084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99EE2" w14:textId="77777777" w:rsidR="00EF0D14" w:rsidRDefault="00000000">
    <w:pPr>
      <w:jc w:val="center"/>
    </w:pPr>
    <w:r>
      <w:rPr>
        <w:color w:val="808080"/>
        <w:sz w:val="18"/>
        <w:szCs w:val="18"/>
      </w:rPr>
      <w:t xml:space="preserve">Version 7.16.26   |   Page </w:t>
    </w:r>
    <w:r>
      <w:rPr>
        <w:color w:val="808080"/>
        <w:sz w:val="18"/>
        <w:szCs w:val="18"/>
      </w:rPr>
      <w:fldChar w:fldCharType="begin"/>
    </w:r>
    <w:r>
      <w:rPr>
        <w:color w:val="808080"/>
        <w:sz w:val="18"/>
        <w:szCs w:val="18"/>
      </w:rPr>
      <w:instrText>PAGE</w:instrText>
    </w:r>
    <w:r>
      <w:rPr>
        <w:color w:val="808080"/>
        <w:sz w:val="18"/>
        <w:szCs w:val="18"/>
      </w:rPr>
      <w:fldChar w:fldCharType="separate"/>
    </w:r>
    <w:r w:rsidR="002A55CE">
      <w:rPr>
        <w:noProof/>
        <w:color w:val="808080"/>
        <w:sz w:val="18"/>
        <w:szCs w:val="18"/>
      </w:rPr>
      <w:t>1</w:t>
    </w:r>
    <w:r>
      <w:rPr>
        <w:color w:val="808080"/>
        <w:sz w:val="18"/>
        <w:szCs w:val="18"/>
      </w:rPr>
      <w:fldChar w:fldCharType="end"/>
    </w:r>
    <w:r>
      <w:rPr>
        <w:color w:val="808080"/>
        <w:sz w:val="18"/>
        <w:szCs w:val="18"/>
      </w:rPr>
      <w:t xml:space="preserve"> of </w:t>
    </w:r>
    <w:r>
      <w:rPr>
        <w:color w:val="808080"/>
        <w:sz w:val="18"/>
        <w:szCs w:val="18"/>
      </w:rPr>
      <w:fldChar w:fldCharType="begin"/>
    </w:r>
    <w:r>
      <w:rPr>
        <w:color w:val="808080"/>
        <w:sz w:val="18"/>
        <w:szCs w:val="18"/>
      </w:rPr>
      <w:instrText>NUMPAGES</w:instrText>
    </w:r>
    <w:r>
      <w:rPr>
        <w:color w:val="808080"/>
        <w:sz w:val="18"/>
        <w:szCs w:val="18"/>
      </w:rPr>
      <w:fldChar w:fldCharType="separate"/>
    </w:r>
    <w:r w:rsidR="002A55CE">
      <w:rPr>
        <w:noProof/>
        <w:color w:val="808080"/>
        <w:sz w:val="18"/>
        <w:szCs w:val="18"/>
      </w:rPr>
      <w:t>2</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047EA1" w14:textId="77777777" w:rsidR="00847E79" w:rsidRDefault="00847E79">
      <w:r>
        <w:separator/>
      </w:r>
    </w:p>
  </w:footnote>
  <w:footnote w:type="continuationSeparator" w:id="0">
    <w:p w14:paraId="5142BE6E" w14:textId="77777777" w:rsidR="00847E79" w:rsidRDefault="00847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42241F"/>
    <w:multiLevelType w:val="hybridMultilevel"/>
    <w:tmpl w:val="CE8688A6"/>
    <w:lvl w:ilvl="0" w:tplc="AC48B3BA">
      <w:start w:val="1"/>
      <w:numFmt w:val="bullet"/>
      <w:lvlText w:val="•"/>
      <w:lvlJc w:val="left"/>
      <w:pPr>
        <w:ind w:left="720" w:hanging="360"/>
      </w:pPr>
    </w:lvl>
    <w:lvl w:ilvl="1" w:tplc="7862C91C">
      <w:numFmt w:val="decimal"/>
      <w:lvlText w:val=""/>
      <w:lvlJc w:val="left"/>
    </w:lvl>
    <w:lvl w:ilvl="2" w:tplc="C0504E4E">
      <w:numFmt w:val="decimal"/>
      <w:lvlText w:val=""/>
      <w:lvlJc w:val="left"/>
    </w:lvl>
    <w:lvl w:ilvl="3" w:tplc="56021364">
      <w:numFmt w:val="decimal"/>
      <w:lvlText w:val=""/>
      <w:lvlJc w:val="left"/>
    </w:lvl>
    <w:lvl w:ilvl="4" w:tplc="4EF8D044">
      <w:numFmt w:val="decimal"/>
      <w:lvlText w:val=""/>
      <w:lvlJc w:val="left"/>
    </w:lvl>
    <w:lvl w:ilvl="5" w:tplc="75CC9E56">
      <w:numFmt w:val="decimal"/>
      <w:lvlText w:val=""/>
      <w:lvlJc w:val="left"/>
    </w:lvl>
    <w:lvl w:ilvl="6" w:tplc="E0B07A9A">
      <w:numFmt w:val="decimal"/>
      <w:lvlText w:val=""/>
      <w:lvlJc w:val="left"/>
    </w:lvl>
    <w:lvl w:ilvl="7" w:tplc="F0BE53AE">
      <w:numFmt w:val="decimal"/>
      <w:lvlText w:val=""/>
      <w:lvlJc w:val="left"/>
    </w:lvl>
    <w:lvl w:ilvl="8" w:tplc="94CCEF64">
      <w:numFmt w:val="decimal"/>
      <w:lvlText w:val=""/>
      <w:lvlJc w:val="left"/>
    </w:lvl>
  </w:abstractNum>
  <w:abstractNum w:abstractNumId="1" w15:restartNumberingAfterBreak="0">
    <w:nsid w:val="4CDC4A20"/>
    <w:multiLevelType w:val="hybridMultilevel"/>
    <w:tmpl w:val="DE6EAD40"/>
    <w:lvl w:ilvl="0" w:tplc="E1EE088E">
      <w:start w:val="1"/>
      <w:numFmt w:val="bullet"/>
      <w:lvlText w:val="●"/>
      <w:lvlJc w:val="left"/>
      <w:pPr>
        <w:ind w:left="720" w:hanging="360"/>
      </w:pPr>
    </w:lvl>
    <w:lvl w:ilvl="1" w:tplc="7A1275F8">
      <w:start w:val="1"/>
      <w:numFmt w:val="bullet"/>
      <w:lvlText w:val="○"/>
      <w:lvlJc w:val="left"/>
      <w:pPr>
        <w:ind w:left="1440" w:hanging="360"/>
      </w:pPr>
    </w:lvl>
    <w:lvl w:ilvl="2" w:tplc="4D16BC7A">
      <w:start w:val="1"/>
      <w:numFmt w:val="bullet"/>
      <w:lvlText w:val="■"/>
      <w:lvlJc w:val="left"/>
      <w:pPr>
        <w:ind w:left="2160" w:hanging="360"/>
      </w:pPr>
    </w:lvl>
    <w:lvl w:ilvl="3" w:tplc="2264AB6E">
      <w:start w:val="1"/>
      <w:numFmt w:val="bullet"/>
      <w:lvlText w:val="●"/>
      <w:lvlJc w:val="left"/>
      <w:pPr>
        <w:ind w:left="2880" w:hanging="360"/>
      </w:pPr>
    </w:lvl>
    <w:lvl w:ilvl="4" w:tplc="1A92B600">
      <w:start w:val="1"/>
      <w:numFmt w:val="bullet"/>
      <w:lvlText w:val="○"/>
      <w:lvlJc w:val="left"/>
      <w:pPr>
        <w:ind w:left="3600" w:hanging="360"/>
      </w:pPr>
    </w:lvl>
    <w:lvl w:ilvl="5" w:tplc="B136E5C0">
      <w:start w:val="1"/>
      <w:numFmt w:val="bullet"/>
      <w:lvlText w:val="■"/>
      <w:lvlJc w:val="left"/>
      <w:pPr>
        <w:ind w:left="4320" w:hanging="360"/>
      </w:pPr>
    </w:lvl>
    <w:lvl w:ilvl="6" w:tplc="B414E510">
      <w:start w:val="1"/>
      <w:numFmt w:val="bullet"/>
      <w:lvlText w:val="●"/>
      <w:lvlJc w:val="left"/>
      <w:pPr>
        <w:ind w:left="5040" w:hanging="360"/>
      </w:pPr>
    </w:lvl>
    <w:lvl w:ilvl="7" w:tplc="4C0E3E5A">
      <w:start w:val="1"/>
      <w:numFmt w:val="bullet"/>
      <w:lvlText w:val="●"/>
      <w:lvlJc w:val="left"/>
      <w:pPr>
        <w:ind w:left="5760" w:hanging="360"/>
      </w:pPr>
    </w:lvl>
    <w:lvl w:ilvl="8" w:tplc="86FCEB72">
      <w:start w:val="1"/>
      <w:numFmt w:val="bullet"/>
      <w:lvlText w:val="●"/>
      <w:lvlJc w:val="left"/>
      <w:pPr>
        <w:ind w:left="6480" w:hanging="360"/>
      </w:pPr>
    </w:lvl>
  </w:abstractNum>
  <w:num w:numId="1" w16cid:durableId="796799906">
    <w:abstractNumId w:val="1"/>
    <w:lvlOverride w:ilvl="0">
      <w:startOverride w:val="1"/>
    </w:lvlOverride>
  </w:num>
  <w:num w:numId="2" w16cid:durableId="5884661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14"/>
    <w:rsid w:val="002A55CE"/>
    <w:rsid w:val="003020C5"/>
    <w:rsid w:val="00847E79"/>
    <w:rsid w:val="00EF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644D25"/>
  <w15:docId w15:val="{EFF35451-58CA-E64E-829A-5271D8A4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3864"/>
      <w:sz w:val="30"/>
      <w:szCs w:val="30"/>
    </w:rPr>
  </w:style>
  <w:style w:type="paragraph" w:styleId="Heading2">
    <w:name w:val="heading 2"/>
    <w:uiPriority w:val="9"/>
    <w:unhideWhenUsed/>
    <w:qFormat/>
    <w:pPr>
      <w:spacing w:before="200" w:after="120"/>
      <w:outlineLvl w:val="1"/>
    </w:pPr>
    <w:rPr>
      <w:b/>
      <w:bCs/>
      <w:color w:val="2E74B5"/>
      <w:sz w:val="26"/>
      <w:szCs w:val="26"/>
    </w:rPr>
  </w:style>
  <w:style w:type="paragraph" w:styleId="Heading3">
    <w:name w:val="heading 3"/>
    <w:uiPriority w:val="9"/>
    <w:unhideWhenUsed/>
    <w:qFormat/>
    <w:pPr>
      <w:spacing w:before="160" w:after="100"/>
      <w:outlineLvl w:val="2"/>
    </w:pPr>
    <w:rPr>
      <w:b/>
      <w:bCs/>
      <w:color w:val="404040"/>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A55CE"/>
    <w:pPr>
      <w:spacing w:after="100"/>
    </w:pPr>
  </w:style>
  <w:style w:type="paragraph" w:styleId="TOC2">
    <w:name w:val="toc 2"/>
    <w:basedOn w:val="Normal"/>
    <w:next w:val="Normal"/>
    <w:autoRedefine/>
    <w:uiPriority w:val="39"/>
    <w:unhideWhenUsed/>
    <w:rsid w:val="002A55CE"/>
    <w:pPr>
      <w:spacing w:after="100"/>
      <w:ind w:left="220"/>
    </w:pPr>
  </w:style>
  <w:style w:type="paragraph" w:styleId="TOC3">
    <w:name w:val="toc 3"/>
    <w:basedOn w:val="Normal"/>
    <w:next w:val="Normal"/>
    <w:autoRedefine/>
    <w:uiPriority w:val="39"/>
    <w:unhideWhenUsed/>
    <w:rsid w:val="002A55C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avel.ucla.edu/policy-resources/reimbursement-allowances-mileage-meals" TargetMode="External"/><Relationship Id="rId3" Type="http://schemas.openxmlformats.org/officeDocument/2006/relationships/settings" Target="settings.xml"/><Relationship Id="rId7" Type="http://schemas.openxmlformats.org/officeDocument/2006/relationships/hyperlink" Target="https://ocga.research.ucla.edu/facilities-and-administr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2162</Words>
  <Characters>12329</Characters>
  <Application>Microsoft Office Word</Application>
  <DocSecurity>0</DocSecurity>
  <Lines>102</Lines>
  <Paragraphs>28</Paragraphs>
  <ScaleCrop>false</ScaleCrop>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 Anna</dc:creator>
  <cp:lastModifiedBy>Lau, Anna</cp:lastModifiedBy>
  <cp:revision>2</cp:revision>
  <dcterms:created xsi:type="dcterms:W3CDTF">2026-07-17T18:00:00Z</dcterms:created>
  <dcterms:modified xsi:type="dcterms:W3CDTF">2026-07-17T18:00:00Z</dcterms:modified>
</cp:coreProperties>
</file>